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31EE251F" wp14:editId="1812E431">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AB0B99" w:rsidRPr="00770094">
        <w:t xml:space="preserve">Health Advisory: </w:t>
      </w:r>
      <w:r w:rsidR="007610B9" w:rsidRPr="007610B9">
        <w:rPr>
          <w:i/>
        </w:rPr>
        <w:t>Recall of Docusate Sodium</w:t>
      </w:r>
    </w:p>
    <w:p w:rsidR="008E1DDD" w:rsidRPr="00F13BE7" w:rsidRDefault="008E1DDD" w:rsidP="008E1DDD">
      <w:pPr>
        <w:spacing w:after="120"/>
        <w:rPr>
          <w:sz w:val="20"/>
          <w:szCs w:val="20"/>
        </w:rPr>
      </w:pPr>
      <w:r w:rsidRPr="00F13BE7">
        <w:rPr>
          <w:rFonts w:cs="Arial"/>
          <w:sz w:val="20"/>
          <w:szCs w:val="20"/>
        </w:rPr>
        <w:t xml:space="preserve">Minnesota Department of Health </w:t>
      </w:r>
      <w:r w:rsidR="007610B9">
        <w:rPr>
          <w:rFonts w:cs="Arial"/>
          <w:sz w:val="20"/>
          <w:szCs w:val="20"/>
        </w:rPr>
        <w:t>July</w:t>
      </w:r>
      <w:r w:rsidR="00EB5915" w:rsidRPr="00F13BE7">
        <w:rPr>
          <w:rFonts w:cs="Arial"/>
          <w:sz w:val="20"/>
          <w:szCs w:val="20"/>
        </w:rPr>
        <w:t xml:space="preserve"> </w:t>
      </w:r>
      <w:r w:rsidR="007610B9">
        <w:rPr>
          <w:rFonts w:cs="Arial"/>
          <w:sz w:val="20"/>
          <w:szCs w:val="20"/>
        </w:rPr>
        <w:t>20</w:t>
      </w:r>
      <w:r w:rsidR="00B00702" w:rsidRPr="00F13BE7">
        <w:rPr>
          <w:rFonts w:cs="Arial"/>
          <w:sz w:val="20"/>
          <w:szCs w:val="20"/>
        </w:rPr>
        <w:t>,</w:t>
      </w:r>
      <w:r w:rsidR="00481109" w:rsidRPr="00F13BE7">
        <w:rPr>
          <w:rFonts w:cs="Arial"/>
          <w:sz w:val="20"/>
          <w:szCs w:val="20"/>
        </w:rPr>
        <w:t xml:space="preserve"> 201</w:t>
      </w:r>
      <w:r w:rsidR="0068600F" w:rsidRPr="00F13BE7">
        <w:rPr>
          <w:rFonts w:cs="Arial"/>
          <w:sz w:val="20"/>
          <w:szCs w:val="20"/>
        </w:rPr>
        <w:t>6</w:t>
      </w:r>
      <w:r w:rsidR="00481109" w:rsidRPr="00F13BE7">
        <w:rPr>
          <w:rFonts w:cs="Arial"/>
          <w:sz w:val="20"/>
          <w:szCs w:val="20"/>
        </w:rPr>
        <w:t xml:space="preserve"> </w:t>
      </w:r>
      <w:r w:rsidR="000449F6" w:rsidRPr="00F13BE7">
        <w:rPr>
          <w:rFonts w:cs="Arial"/>
          <w:sz w:val="20"/>
          <w:szCs w:val="20"/>
        </w:rPr>
        <w:t>1</w:t>
      </w:r>
      <w:r w:rsidR="0064451F">
        <w:rPr>
          <w:rFonts w:cs="Arial"/>
          <w:sz w:val="20"/>
          <w:szCs w:val="20"/>
        </w:rPr>
        <w:t>2</w:t>
      </w:r>
      <w:bookmarkStart w:id="0" w:name="_GoBack"/>
      <w:bookmarkEnd w:id="0"/>
      <w:r w:rsidR="00382420" w:rsidRPr="00F13BE7">
        <w:rPr>
          <w:rFonts w:cs="Arial"/>
          <w:sz w:val="20"/>
          <w:szCs w:val="20"/>
        </w:rPr>
        <w:t>:00</w:t>
      </w:r>
      <w:r w:rsidR="006B6ED4" w:rsidRPr="00F13BE7">
        <w:rPr>
          <w:rFonts w:cs="Arial"/>
          <w:sz w:val="20"/>
          <w:szCs w:val="20"/>
        </w:rPr>
        <w:t xml:space="preserve"> CD</w:t>
      </w:r>
      <w:r w:rsidRPr="00F13BE7">
        <w:rPr>
          <w:rFonts w:cs="Arial"/>
          <w:sz w:val="20"/>
          <w:szCs w:val="20"/>
        </w:rPr>
        <w:t>T</w:t>
      </w:r>
      <w:r w:rsidRPr="00F13BE7">
        <w:rPr>
          <w:sz w:val="20"/>
          <w:szCs w:val="20"/>
        </w:rPr>
        <w:t xml:space="preserve"> </w:t>
      </w:r>
    </w:p>
    <w:p w:rsidR="00392877" w:rsidRPr="00F13BE7" w:rsidRDefault="00392877" w:rsidP="00392877">
      <w:pPr>
        <w:rPr>
          <w:rFonts w:ascii="Calibri" w:hAnsi="Calibri"/>
          <w:sz w:val="20"/>
          <w:szCs w:val="20"/>
        </w:rPr>
      </w:pPr>
      <w:r w:rsidRPr="00F13BE7">
        <w:rPr>
          <w:rFonts w:ascii="Calibri" w:hAnsi="Calibri"/>
          <w:b/>
          <w:bCs/>
          <w:sz w:val="20"/>
          <w:szCs w:val="20"/>
        </w:rPr>
        <w:t xml:space="preserve">Action Steps: </w:t>
      </w:r>
      <w:r w:rsidRPr="00F13BE7">
        <w:rPr>
          <w:rFonts w:ascii="Calibri" w:hAnsi="Calibri"/>
          <w:b/>
          <w:bCs/>
          <w:sz w:val="20"/>
          <w:szCs w:val="20"/>
        </w:rPr>
        <w:br/>
      </w:r>
      <w:r w:rsidRPr="00F13BE7">
        <w:rPr>
          <w:rFonts w:ascii="Calibri" w:hAnsi="Calibri"/>
          <w:b/>
          <w:bCs/>
          <w:i/>
          <w:iCs/>
          <w:sz w:val="20"/>
          <w:szCs w:val="20"/>
        </w:rPr>
        <w:t xml:space="preserve">Local and tribal health departments: </w:t>
      </w:r>
      <w:r w:rsidR="007610B9" w:rsidRPr="007610B9">
        <w:rPr>
          <w:sz w:val="20"/>
          <w:szCs w:val="20"/>
        </w:rPr>
        <w:t>Please forward to hospitals, clinics, and long-term care facilities in your jurisdiction.</w:t>
      </w:r>
      <w:r w:rsidRPr="00F13BE7">
        <w:rPr>
          <w:rFonts w:ascii="Calibri" w:hAnsi="Calibri"/>
          <w:sz w:val="20"/>
          <w:szCs w:val="20"/>
        </w:rPr>
        <w:br/>
      </w:r>
      <w:r w:rsidRPr="00F13BE7">
        <w:rPr>
          <w:rFonts w:ascii="Calibri" w:hAnsi="Calibri"/>
          <w:b/>
          <w:bCs/>
          <w:i/>
          <w:iCs/>
          <w:sz w:val="20"/>
          <w:szCs w:val="20"/>
        </w:rPr>
        <w:t xml:space="preserve">Hospital and clinics: </w:t>
      </w:r>
      <w:r w:rsidR="007610B9" w:rsidRPr="007610B9">
        <w:rPr>
          <w:sz w:val="20"/>
          <w:szCs w:val="20"/>
        </w:rPr>
        <w:t>Please distribute to health care providers, infection preventionists, and pharmacists.</w:t>
      </w:r>
      <w:r w:rsidRPr="00F13BE7">
        <w:rPr>
          <w:rFonts w:ascii="Calibri" w:hAnsi="Calibri"/>
          <w:sz w:val="20"/>
          <w:szCs w:val="20"/>
        </w:rPr>
        <w:br/>
      </w:r>
      <w:r w:rsidRPr="00F13BE7">
        <w:rPr>
          <w:rFonts w:ascii="Calibri" w:hAnsi="Calibri"/>
          <w:b/>
          <w:bCs/>
          <w:i/>
          <w:iCs/>
          <w:sz w:val="20"/>
          <w:szCs w:val="20"/>
        </w:rPr>
        <w:t xml:space="preserve">Healthcare providers: </w:t>
      </w:r>
    </w:p>
    <w:p w:rsidR="007610B9" w:rsidRPr="007610B9" w:rsidRDefault="007610B9" w:rsidP="007610B9">
      <w:pPr>
        <w:pStyle w:val="ListParagraph"/>
        <w:numPr>
          <w:ilvl w:val="0"/>
          <w:numId w:val="27"/>
        </w:numPr>
        <w:contextualSpacing/>
        <w:rPr>
          <w:sz w:val="20"/>
          <w:szCs w:val="20"/>
        </w:rPr>
      </w:pPr>
      <w:r w:rsidRPr="007610B9">
        <w:rPr>
          <w:sz w:val="20"/>
          <w:szCs w:val="20"/>
        </w:rPr>
        <w:t>Do not use any liquid docusate sodium product as a stool softener or for any other medical purpose.</w:t>
      </w:r>
    </w:p>
    <w:p w:rsidR="007610B9" w:rsidRPr="007610B9" w:rsidRDefault="007610B9" w:rsidP="007610B9">
      <w:pPr>
        <w:pStyle w:val="ListParagraph"/>
        <w:numPr>
          <w:ilvl w:val="0"/>
          <w:numId w:val="27"/>
        </w:numPr>
        <w:contextualSpacing/>
        <w:rPr>
          <w:sz w:val="20"/>
          <w:szCs w:val="20"/>
        </w:rPr>
      </w:pPr>
      <w:r w:rsidRPr="007610B9">
        <w:rPr>
          <w:sz w:val="20"/>
          <w:szCs w:val="20"/>
        </w:rPr>
        <w:t xml:space="preserve">Remain on alert for infections caused by </w:t>
      </w:r>
      <w:r w:rsidRPr="000232B9">
        <w:rPr>
          <w:i/>
          <w:sz w:val="20"/>
          <w:szCs w:val="20"/>
        </w:rPr>
        <w:t>Burkholderia cepacia</w:t>
      </w:r>
      <w:r w:rsidRPr="007610B9">
        <w:rPr>
          <w:sz w:val="20"/>
          <w:szCs w:val="20"/>
        </w:rPr>
        <w:t xml:space="preserve"> complex and report cases and clusters to MDH at 1-877-676-5414 (toll-free) or 651-201-5414.</w:t>
      </w:r>
    </w:p>
    <w:p w:rsidR="00F1048C" w:rsidRPr="007610B9" w:rsidRDefault="007610B9" w:rsidP="00CF3F37">
      <w:pPr>
        <w:pStyle w:val="ListParagraph"/>
        <w:numPr>
          <w:ilvl w:val="0"/>
          <w:numId w:val="27"/>
        </w:numPr>
        <w:contextualSpacing/>
        <w:rPr>
          <w:sz w:val="20"/>
          <w:szCs w:val="20"/>
        </w:rPr>
      </w:pPr>
      <w:r w:rsidRPr="007610B9">
        <w:rPr>
          <w:sz w:val="20"/>
          <w:szCs w:val="20"/>
        </w:rPr>
        <w:t xml:space="preserve">Subscribe to CDC's Multistate Outbreak of </w:t>
      </w:r>
      <w:r w:rsidRPr="000232B9">
        <w:rPr>
          <w:i/>
          <w:sz w:val="20"/>
          <w:szCs w:val="20"/>
        </w:rPr>
        <w:t>Burkholderia cepacia</w:t>
      </w:r>
      <w:r w:rsidRPr="007610B9">
        <w:rPr>
          <w:sz w:val="20"/>
          <w:szCs w:val="20"/>
        </w:rPr>
        <w:t xml:space="preserve"> Infections</w:t>
      </w:r>
      <w:r w:rsidR="00CF3F37">
        <w:rPr>
          <w:sz w:val="20"/>
          <w:szCs w:val="20"/>
        </w:rPr>
        <w:t xml:space="preserve"> (</w:t>
      </w:r>
      <w:hyperlink r:id="rId9" w:history="1">
        <w:r w:rsidR="00CF3F37" w:rsidRPr="009B7DF6">
          <w:rPr>
            <w:rStyle w:val="Hyperlink"/>
            <w:sz w:val="20"/>
            <w:szCs w:val="20"/>
          </w:rPr>
          <w:t>http://www.cdc.gov/hai/outbreaks/b-cepacia/index.html</w:t>
        </w:r>
      </w:hyperlink>
      <w:r w:rsidR="00CF3F37">
        <w:rPr>
          <w:sz w:val="20"/>
          <w:szCs w:val="20"/>
        </w:rPr>
        <w:t>)</w:t>
      </w:r>
      <w:r w:rsidRPr="007610B9">
        <w:rPr>
          <w:sz w:val="20"/>
          <w:szCs w:val="20"/>
        </w:rPr>
        <w:t xml:space="preserve"> for updates on this outbreak.</w:t>
      </w:r>
    </w:p>
    <w:p w:rsidR="007610B9" w:rsidRDefault="007610B9" w:rsidP="007610B9">
      <w:pPr>
        <w:spacing w:after="0" w:line="240" w:lineRule="auto"/>
        <w:rPr>
          <w:sz w:val="20"/>
          <w:szCs w:val="20"/>
        </w:rPr>
      </w:pPr>
    </w:p>
    <w:p w:rsidR="007610B9" w:rsidRPr="00CF3F37" w:rsidRDefault="007610B9" w:rsidP="007610B9">
      <w:pPr>
        <w:spacing w:after="240" w:line="240" w:lineRule="auto"/>
        <w:rPr>
          <w:sz w:val="20"/>
          <w:szCs w:val="20"/>
        </w:rPr>
      </w:pPr>
      <w:r w:rsidRPr="007610B9">
        <w:rPr>
          <w:b/>
          <w:sz w:val="20"/>
          <w:szCs w:val="20"/>
        </w:rPr>
        <w:t>Summary:</w:t>
      </w:r>
      <w:r>
        <w:rPr>
          <w:sz w:val="20"/>
          <w:szCs w:val="20"/>
        </w:rPr>
        <w:br/>
      </w:r>
      <w:r w:rsidRPr="00CF3F37">
        <w:rPr>
          <w:sz w:val="20"/>
          <w:szCs w:val="20"/>
        </w:rPr>
        <w:t>The Centers for Disease Control and Prevention (CDC) is working with the Food and Drug Administration (FDA), health departments, and multiple health care facilities to investigate a multistate outbreak of Burkholderia cepacia infections. As of July 18, 2016, CDC has confirmed 49 cases from five states. None of the confirmed cases are from Minnesota.</w:t>
      </w:r>
    </w:p>
    <w:p w:rsidR="007610B9" w:rsidRPr="00CF3F37" w:rsidRDefault="007610B9" w:rsidP="007610B9">
      <w:pPr>
        <w:spacing w:after="240" w:line="240" w:lineRule="auto"/>
        <w:rPr>
          <w:sz w:val="20"/>
          <w:szCs w:val="20"/>
        </w:rPr>
      </w:pPr>
      <w:r w:rsidRPr="00CF3F37">
        <w:rPr>
          <w:sz w:val="20"/>
          <w:szCs w:val="20"/>
        </w:rPr>
        <w:t xml:space="preserve">On June 24, 2016, CDC released preliminary information that a contaminated liquid docusate product might be related to B. cepacia cases in one state, and recommended that facilities not use any liquid docusate products for patients who are critically ill, ventilated, or immunosuppressed. On July 8, 2016, this recommendation was expanded to include all patient populations. MDH communicated these messages with laboratories, infection preventionists, and infectious disease physicians in Minnesota when they became available.  </w:t>
      </w:r>
    </w:p>
    <w:p w:rsidR="007610B9" w:rsidRPr="00CF3F37" w:rsidRDefault="007610B9" w:rsidP="007610B9">
      <w:pPr>
        <w:spacing w:after="240" w:line="240" w:lineRule="auto"/>
        <w:rPr>
          <w:sz w:val="20"/>
          <w:szCs w:val="20"/>
        </w:rPr>
      </w:pPr>
      <w:r w:rsidRPr="00CF3F37">
        <w:rPr>
          <w:sz w:val="20"/>
          <w:szCs w:val="20"/>
        </w:rPr>
        <w:t>On July 16, 2016, FDA announced a voluntary recall of all non-expired lots of Diocto Liquid, a docusate sodium solution manufactured by PharmaTech LLC, Davie, Florida, and distributed by Rugby Laboratories, Livonia, Michigan. The agency confirmed the product has been contaminated with Burkholderia cepacia. FDA and CDC continue to investigate this issue to identify other potentially contaminated liquid docusate sodium products.</w:t>
      </w:r>
    </w:p>
    <w:p w:rsidR="007610B9" w:rsidRPr="00CF3F37" w:rsidRDefault="007610B9" w:rsidP="007610B9">
      <w:pPr>
        <w:spacing w:after="240" w:line="240" w:lineRule="auto"/>
        <w:rPr>
          <w:sz w:val="20"/>
          <w:szCs w:val="20"/>
        </w:rPr>
      </w:pPr>
      <w:r w:rsidRPr="00CF3F37">
        <w:rPr>
          <w:sz w:val="20"/>
          <w:szCs w:val="20"/>
        </w:rPr>
        <w:t>FDA and CDC will provide additional information when it is available.</w:t>
      </w:r>
    </w:p>
    <w:p w:rsidR="007610B9" w:rsidRPr="00CF3F37" w:rsidRDefault="007610B9" w:rsidP="007610B9">
      <w:pPr>
        <w:spacing w:after="240" w:line="240" w:lineRule="auto"/>
        <w:rPr>
          <w:sz w:val="20"/>
          <w:szCs w:val="20"/>
        </w:rPr>
      </w:pPr>
      <w:r w:rsidRPr="00CF3F37">
        <w:rPr>
          <w:sz w:val="20"/>
          <w:szCs w:val="20"/>
        </w:rPr>
        <w:t>Burkholderia cepacia is a type of bacteria that can be found in soil and water. It poses little medical risk to healthy people; however, people with weakened immune systems and certain health problems, particularly cystic fibrosis, may be more susceptible to infections with B. cepacia. It is a known cause of infections in hospitalized patients and has been linked to health care-associated outbreaks.</w:t>
      </w:r>
    </w:p>
    <w:p w:rsidR="007610B9" w:rsidRPr="00CF3F37" w:rsidRDefault="007610B9" w:rsidP="007610B9">
      <w:pPr>
        <w:spacing w:after="240" w:line="240" w:lineRule="auto"/>
        <w:rPr>
          <w:sz w:val="20"/>
          <w:szCs w:val="20"/>
        </w:rPr>
      </w:pPr>
      <w:r w:rsidRPr="00CF3F37">
        <w:rPr>
          <w:sz w:val="20"/>
          <w:szCs w:val="20"/>
        </w:rPr>
        <w:t>For more information:</w:t>
      </w:r>
    </w:p>
    <w:p w:rsidR="007610B9" w:rsidRPr="00CF3F37" w:rsidRDefault="007610B9" w:rsidP="00CF3F37">
      <w:pPr>
        <w:pStyle w:val="ListParagraph"/>
        <w:numPr>
          <w:ilvl w:val="0"/>
          <w:numId w:val="28"/>
        </w:numPr>
        <w:rPr>
          <w:sz w:val="20"/>
          <w:szCs w:val="20"/>
        </w:rPr>
      </w:pPr>
      <w:r w:rsidRPr="00CF3F37">
        <w:rPr>
          <w:sz w:val="20"/>
          <w:szCs w:val="20"/>
        </w:rPr>
        <w:t>FDA announces voluntary nationwide recall of oral liquid docusate sodium manufactured by PharmaTech and distributed by Rugby Laboratories</w:t>
      </w:r>
      <w:r w:rsidR="00CF3F37">
        <w:rPr>
          <w:sz w:val="20"/>
          <w:szCs w:val="20"/>
        </w:rPr>
        <w:t xml:space="preserve"> (</w:t>
      </w:r>
      <w:hyperlink r:id="rId10" w:history="1">
        <w:r w:rsidR="00CF3F37" w:rsidRPr="009B7DF6">
          <w:rPr>
            <w:rStyle w:val="Hyperlink"/>
            <w:sz w:val="20"/>
            <w:szCs w:val="20"/>
          </w:rPr>
          <w:t>http://www.fda.gov/Drugs/DrugSafety/ucm511527.htm</w:t>
        </w:r>
      </w:hyperlink>
      <w:r w:rsidR="00CF3F37">
        <w:rPr>
          <w:sz w:val="20"/>
          <w:szCs w:val="20"/>
        </w:rPr>
        <w:t>)</w:t>
      </w:r>
    </w:p>
    <w:p w:rsidR="007610B9" w:rsidRPr="00CF3F37" w:rsidRDefault="007610B9" w:rsidP="00CF3F37">
      <w:pPr>
        <w:pStyle w:val="ListParagraph"/>
        <w:numPr>
          <w:ilvl w:val="0"/>
          <w:numId w:val="28"/>
        </w:numPr>
        <w:rPr>
          <w:sz w:val="20"/>
          <w:szCs w:val="20"/>
        </w:rPr>
      </w:pPr>
      <w:r w:rsidRPr="00CF3F37">
        <w:rPr>
          <w:sz w:val="20"/>
          <w:szCs w:val="20"/>
        </w:rPr>
        <w:t>CDC Burkholderia cepacia in Healthcare Settings</w:t>
      </w:r>
      <w:r w:rsidR="00CF3F37">
        <w:rPr>
          <w:sz w:val="20"/>
          <w:szCs w:val="20"/>
        </w:rPr>
        <w:t xml:space="preserve"> (</w:t>
      </w:r>
      <w:hyperlink r:id="rId11" w:history="1">
        <w:r w:rsidR="00CF3F37" w:rsidRPr="009B7DF6">
          <w:rPr>
            <w:rStyle w:val="Hyperlink"/>
            <w:sz w:val="20"/>
            <w:szCs w:val="20"/>
          </w:rPr>
          <w:t>https://www.cdc.gov/HAI/organisms/bCepacia.html</w:t>
        </w:r>
      </w:hyperlink>
      <w:r w:rsidR="00CF3F37">
        <w:rPr>
          <w:sz w:val="20"/>
          <w:szCs w:val="20"/>
        </w:rPr>
        <w:t>)</w:t>
      </w:r>
    </w:p>
    <w:p w:rsidR="00F13BE7" w:rsidRPr="00CF3F37" w:rsidRDefault="007610B9" w:rsidP="00CF3F37">
      <w:pPr>
        <w:pStyle w:val="ListParagraph"/>
        <w:numPr>
          <w:ilvl w:val="0"/>
          <w:numId w:val="28"/>
        </w:numPr>
        <w:spacing w:after="240"/>
        <w:rPr>
          <w:sz w:val="20"/>
          <w:szCs w:val="20"/>
        </w:rPr>
      </w:pPr>
      <w:r w:rsidRPr="00CF3F37">
        <w:rPr>
          <w:sz w:val="20"/>
          <w:szCs w:val="20"/>
        </w:rPr>
        <w:t>MDH's Healthcare Associated Infections (HAI) page</w:t>
      </w:r>
      <w:r w:rsidR="00CF3F37">
        <w:rPr>
          <w:sz w:val="20"/>
          <w:szCs w:val="20"/>
        </w:rPr>
        <w:t xml:space="preserve"> (</w:t>
      </w:r>
      <w:hyperlink r:id="rId12" w:history="1">
        <w:r w:rsidR="00CF3F37" w:rsidRPr="009B7DF6">
          <w:rPr>
            <w:rStyle w:val="Hyperlink"/>
            <w:sz w:val="20"/>
            <w:szCs w:val="20"/>
          </w:rPr>
          <w:t>http://www.health.state.mn.us/divs/idepc/dtopics/hai/</w:t>
        </w:r>
      </w:hyperlink>
      <w:r w:rsidR="00CF3F37">
        <w:rPr>
          <w:sz w:val="20"/>
          <w:szCs w:val="20"/>
        </w:rPr>
        <w:t>)</w:t>
      </w:r>
      <w:r w:rsidRPr="00CF3F37">
        <w:rPr>
          <w:sz w:val="20"/>
          <w:szCs w:val="20"/>
        </w:rPr>
        <w:br/>
        <w:t>Subscribe for updates on a variety of HAI topics.</w:t>
      </w:r>
    </w:p>
    <w:p w:rsidR="006B6ED4" w:rsidRPr="00F13BE7" w:rsidRDefault="006B6ED4" w:rsidP="00F13BE7">
      <w:pPr>
        <w:spacing w:before="100" w:beforeAutospacing="1" w:after="240" w:line="240" w:lineRule="auto"/>
        <w:rPr>
          <w:sz w:val="20"/>
          <w:szCs w:val="20"/>
        </w:rPr>
      </w:pPr>
      <w:r w:rsidRPr="00F13BE7">
        <w:rPr>
          <w:sz w:val="20"/>
          <w:szCs w:val="20"/>
        </w:rPr>
        <w:t xml:space="preserve">A copy of this HAN is available in PDF and Word format at </w:t>
      </w:r>
      <w:hyperlink r:id="rId13" w:history="1">
        <w:r w:rsidRPr="00F13BE7">
          <w:rPr>
            <w:rStyle w:val="Hyperlink"/>
            <w:sz w:val="20"/>
            <w:szCs w:val="20"/>
          </w:rPr>
          <w:t>www.health.state.mn.us/han/</w:t>
        </w:r>
      </w:hyperlink>
      <w:r w:rsidRPr="00F13BE7">
        <w:rPr>
          <w:sz w:val="20"/>
          <w:szCs w:val="20"/>
        </w:rPr>
        <w:t xml:space="preserve"> . </w:t>
      </w:r>
    </w:p>
    <w:p w:rsidR="006B6ED4" w:rsidRPr="00F13BE7" w:rsidRDefault="006B6ED4" w:rsidP="00F13BE7">
      <w:pPr>
        <w:spacing w:before="100" w:beforeAutospacing="1" w:after="240"/>
        <w:rPr>
          <w:sz w:val="20"/>
          <w:szCs w:val="20"/>
        </w:rPr>
      </w:pPr>
      <w:r w:rsidRPr="00F13BE7">
        <w:rPr>
          <w:sz w:val="20"/>
          <w:szCs w:val="20"/>
        </w:rPr>
        <w:t>The content of this message is intended for public health and health care personnel and response partners who have a need to know the information to perform their duties. It is for official use only. Do not distribute beyond the intended recipient groups as described in the action items of this message</w:t>
      </w:r>
      <w:r w:rsidR="00F13BE7">
        <w:rPr>
          <w:sz w:val="20"/>
          <w:szCs w:val="20"/>
        </w:rPr>
        <w:t>.</w:t>
      </w:r>
    </w:p>
    <w:sectPr w:rsidR="006B6ED4" w:rsidRPr="00F13BE7" w:rsidSect="00CF0C93">
      <w:head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C6" w:rsidRDefault="00C810C6" w:rsidP="00DA46F7">
      <w:pPr>
        <w:spacing w:after="0" w:line="240" w:lineRule="auto"/>
      </w:pPr>
      <w:r>
        <w:separator/>
      </w:r>
    </w:p>
  </w:endnote>
  <w:endnote w:type="continuationSeparator" w:id="0">
    <w:p w:rsidR="00C810C6" w:rsidRDefault="00C810C6" w:rsidP="00DA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C6" w:rsidRDefault="00C810C6" w:rsidP="00DA46F7">
      <w:pPr>
        <w:spacing w:after="0" w:line="240" w:lineRule="auto"/>
      </w:pPr>
      <w:r>
        <w:separator/>
      </w:r>
    </w:p>
  </w:footnote>
  <w:footnote w:type="continuationSeparator" w:id="0">
    <w:p w:rsidR="00C810C6" w:rsidRDefault="00C810C6" w:rsidP="00DA4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03A7A"/>
    <w:multiLevelType w:val="hybridMultilevel"/>
    <w:tmpl w:val="72AC91FE"/>
    <w:lvl w:ilvl="0" w:tplc="04090001">
      <w:start w:val="1"/>
      <w:numFmt w:val="bullet"/>
      <w:lvlText w:val=""/>
      <w:lvlJc w:val="left"/>
      <w:pPr>
        <w:ind w:left="720" w:hanging="360"/>
      </w:pPr>
      <w:rPr>
        <w:rFonts w:ascii="Symbol" w:hAnsi="Symbol" w:hint="default"/>
      </w:rPr>
    </w:lvl>
    <w:lvl w:ilvl="1" w:tplc="29DA09F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396601"/>
    <w:multiLevelType w:val="hybridMultilevel"/>
    <w:tmpl w:val="FEA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613EED"/>
    <w:multiLevelType w:val="hybridMultilevel"/>
    <w:tmpl w:val="9276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63604"/>
    <w:multiLevelType w:val="multilevel"/>
    <w:tmpl w:val="FF54E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num>
  <w:num w:numId="3">
    <w:abstractNumId w:val="5"/>
  </w:num>
  <w:num w:numId="4">
    <w:abstractNumId w:val="0"/>
  </w:num>
  <w:num w:numId="5">
    <w:abstractNumId w:val="15"/>
  </w:num>
  <w:num w:numId="6">
    <w:abstractNumId w:val="16"/>
  </w:num>
  <w:num w:numId="7">
    <w:abstractNumId w:val="24"/>
  </w:num>
  <w:num w:numId="8">
    <w:abstractNumId w:val="6"/>
  </w:num>
  <w:num w:numId="9">
    <w:abstractNumId w:val="2"/>
  </w:num>
  <w:num w:numId="10">
    <w:abstractNumId w:val="19"/>
  </w:num>
  <w:num w:numId="11">
    <w:abstractNumId w:val="22"/>
  </w:num>
  <w:num w:numId="12">
    <w:abstractNumId w:val="14"/>
  </w:num>
  <w:num w:numId="13">
    <w:abstractNumId w:val="13"/>
  </w:num>
  <w:num w:numId="14">
    <w:abstractNumId w:val="21"/>
  </w:num>
  <w:num w:numId="15">
    <w:abstractNumId w:val="20"/>
  </w:num>
  <w:num w:numId="16">
    <w:abstractNumId w:val="25"/>
  </w:num>
  <w:num w:numId="17">
    <w:abstractNumId w:val="7"/>
  </w:num>
  <w:num w:numId="18">
    <w:abstractNumId w:val="18"/>
  </w:num>
  <w:num w:numId="19">
    <w:abstractNumId w:val="9"/>
  </w:num>
  <w:num w:numId="20">
    <w:abstractNumId w:val="1"/>
  </w:num>
  <w:num w:numId="21">
    <w:abstractNumId w:val="13"/>
  </w:num>
  <w:num w:numId="22">
    <w:abstractNumId w:val="8"/>
  </w:num>
  <w:num w:numId="23">
    <w:abstractNumId w:val="10"/>
  </w:num>
  <w:num w:numId="24">
    <w:abstractNumId w:val="3"/>
  </w:num>
  <w:num w:numId="25">
    <w:abstractNumId w:val="26"/>
  </w:num>
  <w:num w:numId="26">
    <w:abstractNumId w:val="4"/>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232B9"/>
    <w:rsid w:val="00031A22"/>
    <w:rsid w:val="0003212B"/>
    <w:rsid w:val="000449F6"/>
    <w:rsid w:val="0006249F"/>
    <w:rsid w:val="00070166"/>
    <w:rsid w:val="00070AA5"/>
    <w:rsid w:val="00084297"/>
    <w:rsid w:val="00090A2A"/>
    <w:rsid w:val="000B19B5"/>
    <w:rsid w:val="000D3CCD"/>
    <w:rsid w:val="000E253B"/>
    <w:rsid w:val="00142BE8"/>
    <w:rsid w:val="00174D71"/>
    <w:rsid w:val="001A2FD7"/>
    <w:rsid w:val="001A4175"/>
    <w:rsid w:val="001C5A4F"/>
    <w:rsid w:val="001D079C"/>
    <w:rsid w:val="00233EFC"/>
    <w:rsid w:val="0026066D"/>
    <w:rsid w:val="00265ECE"/>
    <w:rsid w:val="00294137"/>
    <w:rsid w:val="002A091A"/>
    <w:rsid w:val="002A2A8E"/>
    <w:rsid w:val="002A559C"/>
    <w:rsid w:val="002B6B45"/>
    <w:rsid w:val="002C0389"/>
    <w:rsid w:val="002D4688"/>
    <w:rsid w:val="002D5161"/>
    <w:rsid w:val="002F524A"/>
    <w:rsid w:val="00315CE5"/>
    <w:rsid w:val="00343D1C"/>
    <w:rsid w:val="00344D7A"/>
    <w:rsid w:val="003646EC"/>
    <w:rsid w:val="003755DA"/>
    <w:rsid w:val="00382420"/>
    <w:rsid w:val="00392877"/>
    <w:rsid w:val="00393350"/>
    <w:rsid w:val="003A4E85"/>
    <w:rsid w:val="003A5DF8"/>
    <w:rsid w:val="003C5408"/>
    <w:rsid w:val="003F76C0"/>
    <w:rsid w:val="00403DFD"/>
    <w:rsid w:val="0041283D"/>
    <w:rsid w:val="00437781"/>
    <w:rsid w:val="004477F2"/>
    <w:rsid w:val="004502DD"/>
    <w:rsid w:val="00467421"/>
    <w:rsid w:val="00481109"/>
    <w:rsid w:val="0048503C"/>
    <w:rsid w:val="00497673"/>
    <w:rsid w:val="004B0782"/>
    <w:rsid w:val="004B08F5"/>
    <w:rsid w:val="004D3F20"/>
    <w:rsid w:val="0051500C"/>
    <w:rsid w:val="005336D0"/>
    <w:rsid w:val="00535155"/>
    <w:rsid w:val="005A318A"/>
    <w:rsid w:val="005B3DA7"/>
    <w:rsid w:val="005F0A3F"/>
    <w:rsid w:val="00603CB0"/>
    <w:rsid w:val="00615760"/>
    <w:rsid w:val="0062347B"/>
    <w:rsid w:val="00637CED"/>
    <w:rsid w:val="0064451F"/>
    <w:rsid w:val="006556AD"/>
    <w:rsid w:val="00656A5D"/>
    <w:rsid w:val="006706A6"/>
    <w:rsid w:val="0068600F"/>
    <w:rsid w:val="006B6ED4"/>
    <w:rsid w:val="006C6E47"/>
    <w:rsid w:val="006D7D86"/>
    <w:rsid w:val="007001DC"/>
    <w:rsid w:val="00710767"/>
    <w:rsid w:val="00717A43"/>
    <w:rsid w:val="00746B8D"/>
    <w:rsid w:val="007610B9"/>
    <w:rsid w:val="00770094"/>
    <w:rsid w:val="00775B0F"/>
    <w:rsid w:val="00776617"/>
    <w:rsid w:val="0078378C"/>
    <w:rsid w:val="007A0BD9"/>
    <w:rsid w:val="007B5F91"/>
    <w:rsid w:val="007D191C"/>
    <w:rsid w:val="007D41B8"/>
    <w:rsid w:val="008111EB"/>
    <w:rsid w:val="00820F43"/>
    <w:rsid w:val="00824B51"/>
    <w:rsid w:val="00843621"/>
    <w:rsid w:val="00867D30"/>
    <w:rsid w:val="00871E34"/>
    <w:rsid w:val="00876DD7"/>
    <w:rsid w:val="00882456"/>
    <w:rsid w:val="0088707D"/>
    <w:rsid w:val="00887FEF"/>
    <w:rsid w:val="008B6813"/>
    <w:rsid w:val="008E1DDD"/>
    <w:rsid w:val="008E3A09"/>
    <w:rsid w:val="008F2F74"/>
    <w:rsid w:val="00920DAA"/>
    <w:rsid w:val="009537DD"/>
    <w:rsid w:val="00960F11"/>
    <w:rsid w:val="00962F05"/>
    <w:rsid w:val="009740F9"/>
    <w:rsid w:val="00992094"/>
    <w:rsid w:val="00996B8E"/>
    <w:rsid w:val="00997AAC"/>
    <w:rsid w:val="009A2A40"/>
    <w:rsid w:val="009A38F2"/>
    <w:rsid w:val="009B30D7"/>
    <w:rsid w:val="009C1193"/>
    <w:rsid w:val="009C14F4"/>
    <w:rsid w:val="009E66F1"/>
    <w:rsid w:val="00A0539B"/>
    <w:rsid w:val="00A35305"/>
    <w:rsid w:val="00A910CE"/>
    <w:rsid w:val="00AB0B99"/>
    <w:rsid w:val="00AB0D2E"/>
    <w:rsid w:val="00AC5873"/>
    <w:rsid w:val="00AD44BA"/>
    <w:rsid w:val="00AF238B"/>
    <w:rsid w:val="00B00702"/>
    <w:rsid w:val="00B43866"/>
    <w:rsid w:val="00B72108"/>
    <w:rsid w:val="00B830B3"/>
    <w:rsid w:val="00B92329"/>
    <w:rsid w:val="00B97383"/>
    <w:rsid w:val="00BB289D"/>
    <w:rsid w:val="00BF333F"/>
    <w:rsid w:val="00C22FF8"/>
    <w:rsid w:val="00C439D0"/>
    <w:rsid w:val="00C7768A"/>
    <w:rsid w:val="00C810C6"/>
    <w:rsid w:val="00C9749E"/>
    <w:rsid w:val="00CC0E3A"/>
    <w:rsid w:val="00CF0C93"/>
    <w:rsid w:val="00CF3F37"/>
    <w:rsid w:val="00CF61C3"/>
    <w:rsid w:val="00D26952"/>
    <w:rsid w:val="00D32BDE"/>
    <w:rsid w:val="00D4193B"/>
    <w:rsid w:val="00D85F9B"/>
    <w:rsid w:val="00DA46F7"/>
    <w:rsid w:val="00DB446C"/>
    <w:rsid w:val="00DC011E"/>
    <w:rsid w:val="00DC4B2D"/>
    <w:rsid w:val="00E251C0"/>
    <w:rsid w:val="00E53182"/>
    <w:rsid w:val="00E72E07"/>
    <w:rsid w:val="00E74A1A"/>
    <w:rsid w:val="00E930FA"/>
    <w:rsid w:val="00E940B8"/>
    <w:rsid w:val="00EB1966"/>
    <w:rsid w:val="00EB5915"/>
    <w:rsid w:val="00F1048C"/>
    <w:rsid w:val="00F13BE7"/>
    <w:rsid w:val="00F23D0D"/>
    <w:rsid w:val="00F31287"/>
    <w:rsid w:val="00F556B2"/>
    <w:rsid w:val="00F64A49"/>
    <w:rsid w:val="00F64ABF"/>
    <w:rsid w:val="00FA2A4A"/>
    <w:rsid w:val="00FD3B44"/>
    <w:rsid w:val="00FF3B45"/>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line="240" w:lineRule="auto"/>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pPr>
      <w:spacing w:line="240" w:lineRule="auto"/>
    </w:pPr>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29191842">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1034964292">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155296614">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985">
      <w:bodyDiv w:val="1"/>
      <w:marLeft w:val="0"/>
      <w:marRight w:val="0"/>
      <w:marTop w:val="0"/>
      <w:marBottom w:val="0"/>
      <w:divBdr>
        <w:top w:val="none" w:sz="0" w:space="0" w:color="auto"/>
        <w:left w:val="none" w:sz="0" w:space="0" w:color="auto"/>
        <w:bottom w:val="none" w:sz="0" w:space="0" w:color="auto"/>
        <w:right w:val="none" w:sz="0" w:space="0" w:color="auto"/>
      </w:divBdr>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1886136246">
      <w:bodyDiv w:val="1"/>
      <w:marLeft w:val="0"/>
      <w:marRight w:val="0"/>
      <w:marTop w:val="0"/>
      <w:marBottom w:val="0"/>
      <w:divBdr>
        <w:top w:val="none" w:sz="0" w:space="0" w:color="auto"/>
        <w:left w:val="none" w:sz="0" w:space="0" w:color="auto"/>
        <w:bottom w:val="none" w:sz="0" w:space="0" w:color="auto"/>
        <w:right w:val="none" w:sz="0" w:space="0" w:color="auto"/>
      </w:divBdr>
    </w:div>
    <w:div w:id="2075814756">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h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idepc/dtopics/h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HAI/organisms/bCepaci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da.gov/Drugs/DrugSafety/ucm511527.htm" TargetMode="External"/><Relationship Id="rId4" Type="http://schemas.openxmlformats.org/officeDocument/2006/relationships/settings" Target="settings.xml"/><Relationship Id="rId9" Type="http://schemas.openxmlformats.org/officeDocument/2006/relationships/hyperlink" Target="http://www.cdc.gov/hai/outbreaks/b-cepacia/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7AAC-36D6-4509-B596-E09084E9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525</Words>
  <Characters>3240</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Health Advisory: Recall of Docusate Sodium</vt:lpstr>
    </vt:vector>
  </TitlesOfParts>
  <Company>Minnesota Department of Health</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Recall of Docusate Sodium</dc:title>
  <dc:creator>Minnesota Department of Health</dc:creator>
  <cp:lastModifiedBy>Toby McAdams</cp:lastModifiedBy>
  <cp:revision>7</cp:revision>
  <dcterms:created xsi:type="dcterms:W3CDTF">2016-07-20T13:28:00Z</dcterms:created>
  <dcterms:modified xsi:type="dcterms:W3CDTF">2016-07-20T16:23:00Z</dcterms:modified>
</cp:coreProperties>
</file>