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D4BB" w14:textId="77777777" w:rsidR="006A3584" w:rsidRDefault="002E2A49" w:rsidP="00B61327">
      <w:pPr>
        <w:pStyle w:val="LOGO"/>
      </w:pPr>
      <w:r w:rsidRPr="00B61327">
        <w:drawing>
          <wp:anchor distT="0" distB="0" distL="114300" distR="114300" simplePos="0" relativeHeight="251659264" behindDoc="0" locked="0" layoutInCell="1" allowOverlap="1" wp14:anchorId="60592E3F" wp14:editId="585023CB">
            <wp:simplePos x="0" y="0"/>
            <wp:positionH relativeFrom="margin">
              <wp:align>left</wp:align>
            </wp:positionH>
            <wp:positionV relativeFrom="paragraph">
              <wp:posOffset>49711</wp:posOffset>
            </wp:positionV>
            <wp:extent cx="3257006" cy="465286"/>
            <wp:effectExtent l="0" t="0" r="635" b="0"/>
            <wp:wrapNone/>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7006" cy="465286"/>
                    </a:xfrm>
                    <a:prstGeom prst="rect">
                      <a:avLst/>
                    </a:prstGeom>
                  </pic:spPr>
                </pic:pic>
              </a:graphicData>
            </a:graphic>
            <wp14:sizeRelH relativeFrom="margin">
              <wp14:pctWidth>0</wp14:pctWidth>
            </wp14:sizeRelH>
            <wp14:sizeRelV relativeFrom="margin">
              <wp14:pctHeight>0</wp14:pctHeight>
            </wp14:sizeRelV>
          </wp:anchor>
        </w:drawing>
      </w:r>
    </w:p>
    <w:p w14:paraId="7C9506E9" w14:textId="589161CB" w:rsidR="00864CAD" w:rsidRPr="00B365F5" w:rsidRDefault="00864CAD" w:rsidP="002E2A49">
      <w:pPr>
        <w:pStyle w:val="Heading1"/>
        <w:spacing w:before="960"/>
        <w:rPr>
          <w:sz w:val="40"/>
          <w:szCs w:val="40"/>
        </w:rPr>
      </w:pPr>
      <w:r w:rsidRPr="002E2A49">
        <w:rPr>
          <w:sz w:val="40"/>
          <w:szCs w:val="40"/>
        </w:rPr>
        <w:t xml:space="preserve">Health Advisory: </w:t>
      </w:r>
      <w:r w:rsidR="00BC4606" w:rsidRPr="00BC4606">
        <w:rPr>
          <w:sz w:val="40"/>
          <w:szCs w:val="40"/>
        </w:rPr>
        <w:t>Increase in Cyclosporiasis Cases</w:t>
      </w:r>
    </w:p>
    <w:p w14:paraId="7C3717F2" w14:textId="77777777" w:rsidR="00816D57" w:rsidRPr="002E2A49" w:rsidRDefault="00240DC3" w:rsidP="00DD449B">
      <w:r w:rsidRPr="00240DC3">
        <w:t xml:space="preserve">Minnesota Department of Health </w:t>
      </w:r>
      <w:r w:rsidR="00011D4B">
        <w:t>Fri June 15</w:t>
      </w:r>
      <w:r w:rsidRPr="00240DC3">
        <w:t xml:space="preserve"> </w:t>
      </w:r>
      <w:r w:rsidR="00B702A2" w:rsidRPr="00DA2012">
        <w:t>12</w:t>
      </w:r>
      <w:r w:rsidRPr="00DA2012">
        <w:t>:00 CDT</w:t>
      </w:r>
      <w:r w:rsidRPr="00240DC3">
        <w:t xml:space="preserve"> 2018</w:t>
      </w:r>
      <w:r w:rsidRPr="00240DC3" w:rsidDel="00240DC3">
        <w:t xml:space="preserve"> </w:t>
      </w:r>
      <w:r w:rsidR="00816D57" w:rsidRPr="002E2A49">
        <w:rPr>
          <w:spacing w:val="-10"/>
        </w:rPr>
        <w:fldChar w:fldCharType="begin"/>
      </w:r>
      <w:r w:rsidR="00816D57" w:rsidRPr="002E2A49">
        <w:instrText xml:space="preserve"> TOC \h \z \u \t "Heading 2,1,Heading 3,2" </w:instrText>
      </w:r>
      <w:r w:rsidR="00816D57" w:rsidRPr="002E2A49">
        <w:rPr>
          <w:spacing w:val="-10"/>
        </w:rPr>
        <w:fldChar w:fldCharType="separate"/>
      </w:r>
    </w:p>
    <w:p w14:paraId="689E9021" w14:textId="77777777" w:rsidR="00607162" w:rsidRPr="00DD449B" w:rsidRDefault="00816D57" w:rsidP="00DD449B">
      <w:r w:rsidRPr="002E2A49">
        <w:fldChar w:fldCharType="end"/>
      </w:r>
      <w:r w:rsidR="00864CAD" w:rsidRPr="00D05977">
        <w:rPr>
          <w:b/>
        </w:rPr>
        <w:t>Action Steps:</w:t>
      </w:r>
    </w:p>
    <w:p w14:paraId="260C2D83" w14:textId="77777777" w:rsidR="00864CAD" w:rsidRDefault="00864CAD" w:rsidP="00864CAD">
      <w:r w:rsidRPr="00D05977">
        <w:rPr>
          <w:b/>
          <w:i/>
        </w:rPr>
        <w:t>Local and tribal health departments:</w:t>
      </w:r>
      <w:r>
        <w:t xml:space="preserve"> Please forward to hospitals, emergency departments, urgent care centers, </w:t>
      </w:r>
      <w:r w:rsidR="00B702A2">
        <w:t xml:space="preserve">clinics, </w:t>
      </w:r>
      <w:r>
        <w:t>and convenience clinics</w:t>
      </w:r>
      <w:r w:rsidR="00BA1535">
        <w:t xml:space="preserve"> in your jurisdiction</w:t>
      </w:r>
      <w:r>
        <w:t>.</w:t>
      </w:r>
    </w:p>
    <w:p w14:paraId="3C3AC72B" w14:textId="77777777" w:rsidR="00864CAD" w:rsidRDefault="00011D4B" w:rsidP="00864CAD">
      <w:r>
        <w:rPr>
          <w:b/>
          <w:i/>
        </w:rPr>
        <w:t xml:space="preserve">Hospitals, </w:t>
      </w:r>
      <w:r w:rsidR="00864CAD" w:rsidRPr="00D05977">
        <w:rPr>
          <w:b/>
          <w:i/>
        </w:rPr>
        <w:t>clinics</w:t>
      </w:r>
      <w:r>
        <w:rPr>
          <w:b/>
          <w:i/>
        </w:rPr>
        <w:t>, and other facilities</w:t>
      </w:r>
      <w:r w:rsidR="00864CAD" w:rsidRPr="00D05977">
        <w:rPr>
          <w:b/>
          <w:i/>
        </w:rPr>
        <w:t>:</w:t>
      </w:r>
      <w:r w:rsidR="00864CAD">
        <w:t xml:space="preserve"> Please distribute to </w:t>
      </w:r>
      <w:r w:rsidR="00BA1535">
        <w:t xml:space="preserve">all </w:t>
      </w:r>
      <w:r w:rsidR="00864CAD">
        <w:t>health care providers in these facilities</w:t>
      </w:r>
      <w:r w:rsidR="004C7BA5">
        <w:t>.</w:t>
      </w:r>
      <w:r w:rsidR="00864CAD">
        <w:t xml:space="preserve"> </w:t>
      </w:r>
    </w:p>
    <w:p w14:paraId="35F78886" w14:textId="77777777" w:rsidR="000B6CEA" w:rsidRPr="000B6CEA" w:rsidRDefault="00864CAD" w:rsidP="000B6CEA">
      <w:pPr>
        <w:pStyle w:val="Default"/>
      </w:pPr>
      <w:r w:rsidRPr="00D05977">
        <w:rPr>
          <w:b/>
          <w:i/>
        </w:rPr>
        <w:t>Health care providers:</w:t>
      </w:r>
      <w:r w:rsidR="00F62544">
        <w:rPr>
          <w:b/>
          <w:i/>
        </w:rPr>
        <w:t xml:space="preserve"> </w:t>
      </w:r>
    </w:p>
    <w:p w14:paraId="743D5697" w14:textId="77777777" w:rsidR="00011D4B" w:rsidRPr="00011D4B" w:rsidRDefault="00011D4B" w:rsidP="00011D4B">
      <w:pPr>
        <w:pStyle w:val="ListParagraph"/>
        <w:numPr>
          <w:ilvl w:val="0"/>
          <w:numId w:val="17"/>
        </w:numPr>
        <w:spacing w:before="0" w:after="0"/>
        <w:rPr>
          <w:szCs w:val="24"/>
        </w:rPr>
      </w:pPr>
      <w:r w:rsidRPr="00011D4B">
        <w:rPr>
          <w:szCs w:val="24"/>
        </w:rPr>
        <w:t xml:space="preserve">Consider </w:t>
      </w:r>
      <w:r w:rsidRPr="00E412A7">
        <w:rPr>
          <w:i/>
          <w:szCs w:val="24"/>
        </w:rPr>
        <w:t>Cyclospora</w:t>
      </w:r>
      <w:r w:rsidRPr="00011D4B">
        <w:rPr>
          <w:szCs w:val="24"/>
        </w:rPr>
        <w:t xml:space="preserve"> as a potential cause of illness in persons with persistent diarrhea. </w:t>
      </w:r>
    </w:p>
    <w:p w14:paraId="702FDDDB" w14:textId="42B7D032" w:rsidR="00011D4B" w:rsidRPr="00011D4B" w:rsidRDefault="000F6709" w:rsidP="00011D4B">
      <w:pPr>
        <w:pStyle w:val="ListParagraph"/>
        <w:numPr>
          <w:ilvl w:val="0"/>
          <w:numId w:val="17"/>
        </w:numPr>
        <w:spacing w:before="0" w:after="0"/>
        <w:rPr>
          <w:szCs w:val="24"/>
        </w:rPr>
      </w:pPr>
      <w:r>
        <w:rPr>
          <w:rFonts w:cs="Calibri"/>
          <w:szCs w:val="24"/>
        </w:rPr>
        <w:t>R</w:t>
      </w:r>
      <w:r w:rsidR="00011D4B" w:rsidRPr="00011D4B">
        <w:rPr>
          <w:rFonts w:cs="Calibri"/>
          <w:szCs w:val="24"/>
        </w:rPr>
        <w:t xml:space="preserve">equest testing for </w:t>
      </w:r>
      <w:r w:rsidR="00011D4B" w:rsidRPr="00011D4B">
        <w:rPr>
          <w:rFonts w:cs="Calibri"/>
          <w:i/>
          <w:szCs w:val="24"/>
        </w:rPr>
        <w:t>Cyclospora</w:t>
      </w:r>
      <w:r w:rsidR="00011D4B" w:rsidRPr="00011D4B">
        <w:rPr>
          <w:rFonts w:cs="Calibri"/>
          <w:szCs w:val="24"/>
        </w:rPr>
        <w:t xml:space="preserve"> if it is suspected.</w:t>
      </w:r>
      <w:r>
        <w:rPr>
          <w:rFonts w:cs="Calibri"/>
          <w:szCs w:val="24"/>
        </w:rPr>
        <w:t xml:space="preserve"> See below for specific laboratory tests to request. </w:t>
      </w:r>
    </w:p>
    <w:p w14:paraId="775F1643" w14:textId="77777777" w:rsidR="00B702A2" w:rsidRPr="00011D4B" w:rsidRDefault="00D42B21" w:rsidP="00011D4B">
      <w:pPr>
        <w:numPr>
          <w:ilvl w:val="0"/>
          <w:numId w:val="20"/>
        </w:numPr>
        <w:suppressAutoHyphens w:val="0"/>
        <w:spacing w:before="0" w:after="0"/>
        <w:rPr>
          <w:rFonts w:cs="Calibri"/>
          <w:b/>
          <w:szCs w:val="24"/>
        </w:rPr>
      </w:pPr>
      <w:r>
        <w:t xml:space="preserve">Submit clinical materials from cyclosporiasis cases to MDH. This is </w:t>
      </w:r>
      <w:r w:rsidRPr="00D42B21">
        <w:t xml:space="preserve">required according to </w:t>
      </w:r>
      <w:r>
        <w:t xml:space="preserve">infectious disease </w:t>
      </w:r>
      <w:r w:rsidRPr="00D42B21">
        <w:t>reporting rules</w:t>
      </w:r>
      <w:r w:rsidR="00011D4B" w:rsidRPr="00011D4B">
        <w:rPr>
          <w:rFonts w:cs="Calibri"/>
          <w:szCs w:val="24"/>
        </w:rPr>
        <w:t xml:space="preserve">. </w:t>
      </w:r>
      <w:r w:rsidR="00B702A2" w:rsidRPr="00011D4B">
        <w:rPr>
          <w:szCs w:val="24"/>
        </w:rPr>
        <w:t xml:space="preserve"> </w:t>
      </w:r>
    </w:p>
    <w:p w14:paraId="15E60459" w14:textId="77777777" w:rsidR="00E412A7" w:rsidRPr="00E412A7" w:rsidRDefault="00D05977" w:rsidP="00E412A7">
      <w:pPr>
        <w:spacing w:after="0"/>
      </w:pPr>
      <w:r w:rsidRPr="002E2A49">
        <w:rPr>
          <w:b/>
        </w:rPr>
        <w:t>Background</w:t>
      </w:r>
      <w:r w:rsidR="002E2A49">
        <w:br/>
      </w:r>
      <w:r w:rsidR="00E412A7" w:rsidRPr="00E412A7">
        <w:t xml:space="preserve">An increase in cyclosporiasis cases have been reported in the past month, including two outbreaks. One outbreak has been associated with Del Monte vegetable trays purchased at Kwik Trip stores. A second outbreak has been identified associated with dining at Sonora Grill in Minneapolis. </w:t>
      </w:r>
    </w:p>
    <w:p w14:paraId="3441957C" w14:textId="77777777" w:rsidR="00E412A7" w:rsidRPr="00E412A7" w:rsidRDefault="00E412A7" w:rsidP="00E412A7">
      <w:pPr>
        <w:spacing w:after="0"/>
      </w:pPr>
      <w:r w:rsidRPr="00E412A7">
        <w:rPr>
          <w:i/>
        </w:rPr>
        <w:t>Cyclospora</w:t>
      </w:r>
      <w:r w:rsidRPr="00E412A7">
        <w:t xml:space="preserve"> </w:t>
      </w:r>
      <w:r w:rsidRPr="00E412A7">
        <w:rPr>
          <w:i/>
        </w:rPr>
        <w:t>cayetanensis</w:t>
      </w:r>
      <w:r w:rsidRPr="00E412A7">
        <w:t xml:space="preserve"> is a protozoan parasite that causes an illness characterized by watery diarrhea, often profuse and protracted. Profuse diarrhea can last weeks to months, and may relapse. Additional symptoms may include anorexia, fatigue, weight loss, abdominal cramps, bloating, vomiting, and low-grade fever. Symptoms of cyclosporiasis usually begin 2-14 days after ingestion of oocysts in contaminated food or water. Direct person-to-person transmission is unlikely, as excreted oocysts take days to weeks to become infective.</w:t>
      </w:r>
    </w:p>
    <w:p w14:paraId="53109701" w14:textId="77777777" w:rsidR="00E412A7" w:rsidRDefault="00E412A7" w:rsidP="00E412A7">
      <w:pPr>
        <w:spacing w:after="0"/>
      </w:pPr>
      <w:r w:rsidRPr="00E412A7">
        <w:t xml:space="preserve">Cyclosporiasis is endemic in tropical or subtropical regions of the world. Most outbreaks in the United States have been associated with consumption of imported fresh produce. Health care providers should consider </w:t>
      </w:r>
      <w:r w:rsidRPr="00E412A7">
        <w:rPr>
          <w:i/>
        </w:rPr>
        <w:t>Cyclospora</w:t>
      </w:r>
      <w:r w:rsidRPr="00E412A7">
        <w:t xml:space="preserve"> as a potential cause of prolonged diarrheal illness. </w:t>
      </w:r>
      <w:r w:rsidRPr="00E412A7">
        <w:rPr>
          <w:b/>
        </w:rPr>
        <w:t xml:space="preserve">Health care providers should specifically request testing for </w:t>
      </w:r>
      <w:r w:rsidRPr="00E412A7">
        <w:rPr>
          <w:b/>
          <w:i/>
        </w:rPr>
        <w:t>Cyclospora</w:t>
      </w:r>
      <w:r w:rsidRPr="00E412A7">
        <w:rPr>
          <w:b/>
        </w:rPr>
        <w:t>.</w:t>
      </w:r>
      <w:r w:rsidRPr="00E412A7">
        <w:t xml:space="preserve"> Laboratory confirmation may help guide antimicrobial therapy for the patient and help MDH identify the source of possible foodborne outbreaks.</w:t>
      </w:r>
    </w:p>
    <w:p w14:paraId="3E7DDCDA" w14:textId="77777777" w:rsidR="00E412A7" w:rsidRDefault="00E412A7" w:rsidP="00E412A7">
      <w:pPr>
        <w:spacing w:after="0"/>
        <w:rPr>
          <w:rFonts w:cs="Calibri"/>
          <w:b/>
        </w:rPr>
      </w:pPr>
      <w:r w:rsidRPr="00E412A7">
        <w:rPr>
          <w:rFonts w:cs="Calibri"/>
          <w:b/>
        </w:rPr>
        <w:t>Laboratory Diagnosis</w:t>
      </w:r>
    </w:p>
    <w:p w14:paraId="7D8E68B7" w14:textId="11C8E629" w:rsidR="00E412A7" w:rsidRPr="00E412A7" w:rsidRDefault="00E412A7" w:rsidP="00E412A7">
      <w:pPr>
        <w:suppressAutoHyphens w:val="0"/>
        <w:spacing w:before="0" w:after="0"/>
        <w:rPr>
          <w:rFonts w:eastAsia="Times New Roman" w:cs="Calibri"/>
          <w:szCs w:val="24"/>
        </w:rPr>
      </w:pPr>
      <w:r w:rsidRPr="00E412A7">
        <w:rPr>
          <w:rFonts w:eastAsia="Times New Roman" w:cs="Calibri"/>
          <w:szCs w:val="24"/>
        </w:rPr>
        <w:t xml:space="preserve">Cyclospora infection is diagnosed by examining stool specimens. Laboratories should use sensitive recovery methods (concentration procedures) and detection methods that highlight </w:t>
      </w:r>
      <w:r w:rsidRPr="00E412A7">
        <w:rPr>
          <w:rFonts w:eastAsia="Times New Roman" w:cs="Calibri"/>
          <w:i/>
          <w:iCs/>
          <w:szCs w:val="24"/>
        </w:rPr>
        <w:t>Cyclospora</w:t>
      </w:r>
      <w:r w:rsidRPr="00E412A7">
        <w:rPr>
          <w:rFonts w:eastAsia="Times New Roman" w:cs="Calibri"/>
          <w:szCs w:val="24"/>
        </w:rPr>
        <w:t xml:space="preserve"> oocysts. The oocysts can be stained with modified acid-fast or modified (“hot”) safranin techniques. </w:t>
      </w:r>
      <w:r w:rsidRPr="00E412A7">
        <w:rPr>
          <w:rFonts w:eastAsia="Times New Roman" w:cs="Calibri"/>
          <w:i/>
          <w:iCs/>
          <w:szCs w:val="24"/>
        </w:rPr>
        <w:t>Cyclospora</w:t>
      </w:r>
      <w:r w:rsidRPr="00E412A7">
        <w:rPr>
          <w:rFonts w:eastAsia="Times New Roman" w:cs="Calibri"/>
          <w:szCs w:val="24"/>
        </w:rPr>
        <w:t xml:space="preserve"> oocysts also are autofluorescent, meaning that when stool containing the parasite is viewed under an ultraviolet (UV) fluorescence microscope the oocysts appear blue or green against a black background.</w:t>
      </w:r>
      <w:r w:rsidR="002B3C48">
        <w:rPr>
          <w:rFonts w:eastAsia="Times New Roman" w:cs="Calibri"/>
          <w:szCs w:val="24"/>
        </w:rPr>
        <w:t xml:space="preserve"> Additional information is available on the CDC DPDx website: </w:t>
      </w:r>
      <w:hyperlink r:id="rId9" w:history="1">
        <w:r w:rsidR="002B3C48" w:rsidRPr="008E22D0">
          <w:rPr>
            <w:rStyle w:val="Hyperlink"/>
            <w:rFonts w:eastAsia="Times New Roman" w:cs="Calibri"/>
            <w:szCs w:val="24"/>
          </w:rPr>
          <w:t>https://www.cdc.gov/dpdx/cyclosporiasis/index.html</w:t>
        </w:r>
      </w:hyperlink>
      <w:r w:rsidR="002B3C48">
        <w:rPr>
          <w:rFonts w:eastAsia="Times New Roman" w:cs="Calibri"/>
          <w:szCs w:val="24"/>
        </w:rPr>
        <w:t xml:space="preserve">. </w:t>
      </w:r>
    </w:p>
    <w:p w14:paraId="3B9BC2FC" w14:textId="1051063D" w:rsidR="002B3C48" w:rsidRDefault="00E412A7" w:rsidP="00E412A7">
      <w:pPr>
        <w:suppressAutoHyphens w:val="0"/>
        <w:spacing w:before="0" w:after="0"/>
        <w:rPr>
          <w:rFonts w:eastAsia="Times New Roman" w:cs="Calibri"/>
          <w:szCs w:val="24"/>
        </w:rPr>
      </w:pPr>
      <w:r w:rsidRPr="00E412A7">
        <w:rPr>
          <w:rFonts w:eastAsia="Times New Roman" w:cs="Calibri"/>
          <w:szCs w:val="24"/>
        </w:rPr>
        <w:lastRenderedPageBreak/>
        <w:t xml:space="preserve">Additionally, there is a </w:t>
      </w:r>
      <w:r w:rsidR="002B3C48">
        <w:rPr>
          <w:rFonts w:eastAsia="Times New Roman" w:cs="Calibri"/>
          <w:szCs w:val="24"/>
        </w:rPr>
        <w:t xml:space="preserve">molecular </w:t>
      </w:r>
      <w:r w:rsidRPr="00E412A7">
        <w:rPr>
          <w:rFonts w:eastAsia="Times New Roman" w:cs="Calibri"/>
          <w:szCs w:val="24"/>
        </w:rPr>
        <w:t xml:space="preserve">gastrointestinal pathogen panel test that can detect </w:t>
      </w:r>
      <w:r w:rsidRPr="00E412A7">
        <w:rPr>
          <w:rFonts w:eastAsia="Times New Roman" w:cs="Calibri"/>
          <w:i/>
          <w:szCs w:val="24"/>
        </w:rPr>
        <w:t>Cyclospora</w:t>
      </w:r>
      <w:r w:rsidRPr="00E412A7">
        <w:rPr>
          <w:rFonts w:eastAsia="Times New Roman" w:cs="Calibri"/>
          <w:szCs w:val="24"/>
        </w:rPr>
        <w:t xml:space="preserve">. </w:t>
      </w:r>
    </w:p>
    <w:p w14:paraId="6EDFAC68" w14:textId="4090AED8" w:rsidR="002B3C48" w:rsidRPr="00BC4606" w:rsidRDefault="002B3C48" w:rsidP="002B3C48">
      <w:pPr>
        <w:rPr>
          <w:rFonts w:cs="Calibri"/>
        </w:rPr>
      </w:pPr>
      <w:r w:rsidRPr="00BC4606">
        <w:rPr>
          <w:rFonts w:cs="Calibri"/>
        </w:rPr>
        <w:t xml:space="preserve">The MDH Public Health Laboratory offers </w:t>
      </w:r>
      <w:r w:rsidRPr="00BC4606">
        <w:rPr>
          <w:rFonts w:cs="Calibri"/>
          <w:i/>
        </w:rPr>
        <w:t>Cyclospora</w:t>
      </w:r>
      <w:r w:rsidRPr="00BC4606">
        <w:rPr>
          <w:rFonts w:cs="Calibri"/>
        </w:rPr>
        <w:t xml:space="preserve"> testing; please use the Clinical Testing and Submission form: </w:t>
      </w:r>
      <w:hyperlink r:id="rId10" w:history="1">
        <w:r w:rsidRPr="00BC4606">
          <w:rPr>
            <w:rStyle w:val="Hyperlink"/>
            <w:rFonts w:cs="Calibri"/>
          </w:rPr>
          <w:t>http://www.health.state.mn.us/divs/phl/clin/forms.html</w:t>
        </w:r>
      </w:hyperlink>
      <w:r w:rsidRPr="00BC4606">
        <w:rPr>
          <w:rFonts w:cs="Calibri"/>
        </w:rPr>
        <w:t xml:space="preserve"> to submit specimens. Specimens collected prior to treatment should be refrigerated and sent to the diagnostic laboratory as rapidly as possible. If it is not possible to send the specimen to the laboratory promptly, it should be preserved. Because a range of tests might be performed, preserve stool in 10% formalin and Zn-PVA or one of the single-vial specimen collection systems.</w:t>
      </w:r>
    </w:p>
    <w:p w14:paraId="3A9B9224" w14:textId="77777777" w:rsidR="00E412A7" w:rsidRPr="00E412A7" w:rsidRDefault="00E412A7" w:rsidP="00DD2C52">
      <w:pPr>
        <w:suppressAutoHyphens w:val="0"/>
        <w:spacing w:after="0"/>
        <w:rPr>
          <w:rFonts w:eastAsia="Times New Roman" w:cs="Calibri"/>
          <w:b/>
        </w:rPr>
      </w:pPr>
      <w:r w:rsidRPr="00E412A7">
        <w:rPr>
          <w:rFonts w:eastAsia="Times New Roman" w:cs="Calibri"/>
          <w:b/>
        </w:rPr>
        <w:t>Treatment</w:t>
      </w:r>
    </w:p>
    <w:p w14:paraId="7D423DF9" w14:textId="77777777" w:rsidR="00E412A7" w:rsidRPr="00E412A7" w:rsidRDefault="00E412A7" w:rsidP="00E412A7">
      <w:pPr>
        <w:suppressAutoHyphens w:val="0"/>
        <w:spacing w:before="0" w:after="0"/>
        <w:rPr>
          <w:rFonts w:eastAsia="Times New Roman" w:cs="Calibri"/>
        </w:rPr>
      </w:pPr>
      <w:r w:rsidRPr="00E412A7">
        <w:rPr>
          <w:rFonts w:eastAsia="Times New Roman" w:cs="Calibri"/>
        </w:rPr>
        <w:t xml:space="preserve">Trimethoprim/sulfamethoxazole (TMP/SMX), sold under the trade names Bactrim, Septra, and Cotrim, is the usual therapy for </w:t>
      </w:r>
      <w:r w:rsidRPr="00E412A7">
        <w:rPr>
          <w:rFonts w:eastAsia="Times New Roman" w:cs="Calibri"/>
          <w:i/>
          <w:iCs/>
        </w:rPr>
        <w:t>Cyclospora</w:t>
      </w:r>
      <w:r w:rsidRPr="00E412A7">
        <w:rPr>
          <w:rFonts w:eastAsia="Times New Roman" w:cs="Calibri"/>
        </w:rPr>
        <w:t xml:space="preserve"> infection. No highly effective alternative antibiotic regimen has been identified yet for patients who do not respond to the standard treatment or have a sulfa allergy.</w:t>
      </w:r>
    </w:p>
    <w:p w14:paraId="715083EC" w14:textId="77777777" w:rsidR="00E412A7" w:rsidRPr="00E412A7" w:rsidRDefault="00E412A7" w:rsidP="00E412A7">
      <w:pPr>
        <w:suppressAutoHyphens w:val="0"/>
        <w:spacing w:before="0" w:after="0"/>
        <w:rPr>
          <w:rFonts w:eastAsia="Times New Roman" w:cs="Calibri"/>
        </w:rPr>
      </w:pPr>
    </w:p>
    <w:p w14:paraId="38E1E859" w14:textId="20BAD725" w:rsidR="00E412A7" w:rsidRPr="00E412A7" w:rsidRDefault="00E412A7" w:rsidP="00E412A7">
      <w:pPr>
        <w:suppressAutoHyphens w:val="0"/>
        <w:spacing w:before="0" w:after="0"/>
        <w:rPr>
          <w:rFonts w:eastAsia="Times New Roman" w:cs="Calibri"/>
        </w:rPr>
      </w:pPr>
      <w:r w:rsidRPr="00E412A7">
        <w:rPr>
          <w:rFonts w:eastAsia="Times New Roman" w:cs="Calibri"/>
          <w:b/>
        </w:rPr>
        <w:t xml:space="preserve">Submission of “clinical materials” (stool) from cyclosporiasis cases to MDH is required according to </w:t>
      </w:r>
      <w:r w:rsidR="00D42B21">
        <w:rPr>
          <w:rFonts w:eastAsia="Times New Roman" w:cs="Calibri"/>
          <w:b/>
        </w:rPr>
        <w:t>Infectious Disease Reporting Rules</w:t>
      </w:r>
      <w:r w:rsidR="00D42B21">
        <w:rPr>
          <w:rFonts w:eastAsia="Times New Roman" w:cs="Calibri"/>
          <w:b/>
        </w:rPr>
        <w:t>.</w:t>
      </w:r>
    </w:p>
    <w:p w14:paraId="4D9B82A9" w14:textId="77777777" w:rsidR="00E412A7" w:rsidRPr="00E412A7" w:rsidRDefault="00E412A7" w:rsidP="00E412A7">
      <w:pPr>
        <w:spacing w:after="0"/>
      </w:pPr>
    </w:p>
    <w:p w14:paraId="61F06F8D" w14:textId="77777777" w:rsidR="001C276B" w:rsidRPr="002E2A49" w:rsidRDefault="001C276B" w:rsidP="00E412A7">
      <w:pPr>
        <w:spacing w:after="0"/>
        <w:rPr>
          <w:rFonts w:eastAsiaTheme="majorEastAsia"/>
          <w:b/>
        </w:rPr>
      </w:pPr>
      <w:r w:rsidRPr="002E2A49">
        <w:rPr>
          <w:rFonts w:eastAsiaTheme="majorEastAsia"/>
          <w:b/>
        </w:rPr>
        <w:t>Additional Information</w:t>
      </w:r>
    </w:p>
    <w:p w14:paraId="5FF44C1D" w14:textId="301C4DCD" w:rsidR="00B702A2" w:rsidRDefault="002B3C48" w:rsidP="002B3C48">
      <w:pPr>
        <w:pStyle w:val="ListBullet"/>
        <w:numPr>
          <w:ilvl w:val="0"/>
          <w:numId w:val="15"/>
        </w:numPr>
      </w:pPr>
      <w:hyperlink r:id="rId11" w:history="1">
        <w:r w:rsidRPr="00DD2C52">
          <w:rPr>
            <w:rStyle w:val="Hyperlink"/>
          </w:rPr>
          <w:t xml:space="preserve">Reporting </w:t>
        </w:r>
        <w:r>
          <w:rPr>
            <w:rStyle w:val="Hyperlink"/>
          </w:rPr>
          <w:t>Cyclosporiasis</w:t>
        </w:r>
      </w:hyperlink>
      <w:r w:rsidRPr="00DD2C52">
        <w:t xml:space="preserve"> </w:t>
      </w:r>
      <w:r w:rsidR="00BC4606">
        <w:t>(</w:t>
      </w:r>
      <w:hyperlink r:id="rId12" w:history="1">
        <w:r w:rsidR="00BC4606" w:rsidRPr="00296318">
          <w:rPr>
            <w:rStyle w:val="Hyperlink"/>
          </w:rPr>
          <w:t>http://www.health.state.mn.us/divs/idepc/dtopics/reportable/cyclosporiasis.html</w:t>
        </w:r>
      </w:hyperlink>
      <w:r w:rsidR="00BC4606">
        <w:t xml:space="preserve">) </w:t>
      </w:r>
    </w:p>
    <w:p w14:paraId="3A18D0D9" w14:textId="4DBFA7EB" w:rsidR="00B702A2" w:rsidRDefault="002B3C48" w:rsidP="00B702A2">
      <w:pPr>
        <w:pStyle w:val="ListBullet"/>
        <w:numPr>
          <w:ilvl w:val="0"/>
          <w:numId w:val="15"/>
        </w:numPr>
      </w:pPr>
      <w:hyperlink r:id="rId13" w:history="1">
        <w:r w:rsidR="00DD2C52" w:rsidRPr="00DD2C52">
          <w:rPr>
            <w:rStyle w:val="Hyperlink"/>
          </w:rPr>
          <w:t>Infectious Disease Reporting</w:t>
        </w:r>
      </w:hyperlink>
      <w:r w:rsidR="00DD2C52" w:rsidRPr="00DD2C52">
        <w:t xml:space="preserve"> (</w:t>
      </w:r>
      <w:hyperlink r:id="rId14" w:history="1">
        <w:r w:rsidR="00DD2C52" w:rsidRPr="00DD2C52">
          <w:rPr>
            <w:rStyle w:val="Hyperlink"/>
          </w:rPr>
          <w:t>http://www.health.state.mn.us/divs/idepc/dtopics/reportable/index.html</w:t>
        </w:r>
      </w:hyperlink>
      <w:r w:rsidR="00DD2C52" w:rsidRPr="00DD2C52">
        <w:t>)</w:t>
      </w:r>
    </w:p>
    <w:p w14:paraId="4C99CBB8" w14:textId="67DB871B" w:rsidR="003C2420" w:rsidRPr="00DD2C52" w:rsidRDefault="003C2420" w:rsidP="00B702A2">
      <w:pPr>
        <w:pStyle w:val="ListBullet"/>
        <w:numPr>
          <w:ilvl w:val="0"/>
          <w:numId w:val="15"/>
        </w:numPr>
        <w:rPr>
          <w:rStyle w:val="Hyperlink"/>
          <w:color w:val="auto"/>
          <w:u w:val="none"/>
        </w:rPr>
      </w:pPr>
      <w:hyperlink r:id="rId15" w:history="1">
        <w:r w:rsidRPr="003C2420">
          <w:rPr>
            <w:rStyle w:val="Hyperlink"/>
            <w:lang w:val="en"/>
          </w:rPr>
          <w:t xml:space="preserve">Health officials investigating increase in </w:t>
        </w:r>
        <w:r w:rsidRPr="003C2420">
          <w:rPr>
            <w:rStyle w:val="Hyperlink"/>
            <w:i/>
            <w:iCs/>
            <w:lang w:val="en"/>
          </w:rPr>
          <w:t>Cyclospora</w:t>
        </w:r>
        <w:r w:rsidRPr="003C2420">
          <w:rPr>
            <w:rStyle w:val="Hyperlink"/>
            <w:lang w:val="en"/>
          </w:rPr>
          <w:t xml:space="preserve"> infections in state</w:t>
        </w:r>
      </w:hyperlink>
    </w:p>
    <w:p w14:paraId="6510E647" w14:textId="4F419DCD" w:rsidR="00C16233" w:rsidRPr="003C2420" w:rsidRDefault="00DD2C52" w:rsidP="003C2420">
      <w:pPr>
        <w:pStyle w:val="ListBullet"/>
        <w:numPr>
          <w:ilvl w:val="0"/>
          <w:numId w:val="0"/>
        </w:numPr>
        <w:ind w:left="720"/>
      </w:pPr>
      <w:r w:rsidRPr="003C2420">
        <w:t>(</w:t>
      </w:r>
      <w:hyperlink r:id="rId16" w:history="1">
        <w:r w:rsidR="003C2420" w:rsidRPr="00296318">
          <w:rPr>
            <w:rStyle w:val="Hyperlink"/>
          </w:rPr>
          <w:t>http://www.health.state.mn.us/news/pressrel/2018/cyclospora061518.html</w:t>
        </w:r>
      </w:hyperlink>
      <w:r w:rsidRPr="003C2420">
        <w:t>)</w:t>
      </w:r>
      <w:r w:rsidR="003C2420">
        <w:t xml:space="preserve"> </w:t>
      </w:r>
    </w:p>
    <w:p w14:paraId="545F1CA4" w14:textId="77777777" w:rsidR="00282D12" w:rsidRDefault="00E921EC" w:rsidP="00BC47EE">
      <w:r>
        <w:t xml:space="preserve">A copy of this HAN is available at: </w:t>
      </w:r>
      <w:hyperlink r:id="rId17" w:history="1">
        <w:r w:rsidR="00B702A2" w:rsidRPr="004717C1">
          <w:rPr>
            <w:rStyle w:val="Hyperlink"/>
          </w:rPr>
          <w:t>http://www.health.state.mn.us/han/</w:t>
        </w:r>
      </w:hyperlink>
      <w:r w:rsidR="00F660FB" w:rsidRPr="00F660FB">
        <w:t xml:space="preserve"> </w:t>
      </w:r>
    </w:p>
    <w:p w14:paraId="5FDA9A2A" w14:textId="77777777" w:rsidR="00D05977" w:rsidRDefault="00E921EC" w:rsidP="0066197C">
      <w:r>
        <w:t>The content of this message is intended for public health and health care personnel and response partners who have a need to know the information to perform th</w:t>
      </w:r>
      <w:bookmarkStart w:id="0" w:name="_GoBack"/>
      <w:bookmarkEnd w:id="0"/>
      <w:r>
        <w:t>eir duties.</w:t>
      </w:r>
    </w:p>
    <w:sectPr w:rsidR="00D05977" w:rsidSect="00B61327">
      <w:headerReference w:type="default" r:id="rId18"/>
      <w:headerReference w:type="first" r:id="rId19"/>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23FD9" w14:textId="77777777" w:rsidR="00BD1BD2" w:rsidRDefault="00BD1BD2" w:rsidP="00D36495">
      <w:r>
        <w:separator/>
      </w:r>
    </w:p>
  </w:endnote>
  <w:endnote w:type="continuationSeparator" w:id="0">
    <w:p w14:paraId="1CC4DF40" w14:textId="77777777" w:rsidR="00BD1BD2" w:rsidRDefault="00BD1BD2"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ource Code Pro">
    <w:panose1 w:val="020B0509030403020204"/>
    <w:charset w:val="00"/>
    <w:family w:val="modern"/>
    <w:pitch w:val="fixed"/>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DFB11" w14:textId="77777777" w:rsidR="00BD1BD2" w:rsidRDefault="00BD1BD2" w:rsidP="00D36495">
      <w:r>
        <w:separator/>
      </w:r>
    </w:p>
  </w:footnote>
  <w:footnote w:type="continuationSeparator" w:id="0">
    <w:p w14:paraId="2C43BACC" w14:textId="77777777" w:rsidR="00BD1BD2" w:rsidRDefault="00BD1BD2"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7032" w14:textId="6295BB6D" w:rsidR="002E2A49" w:rsidRPr="006D1390" w:rsidRDefault="006D1390" w:rsidP="006D1390">
    <w:pPr>
      <w:pStyle w:val="Header"/>
    </w:pPr>
    <w:r w:rsidRPr="006D1390">
      <w:rPr>
        <w:szCs w:val="20"/>
      </w:rPr>
      <w:t xml:space="preserve">Health Advisory: </w:t>
    </w:r>
    <w:r w:rsidR="00BC4606" w:rsidRPr="00BC4606">
      <w:rPr>
        <w:szCs w:val="20"/>
      </w:rPr>
      <w:t>Increase in Cyclosporiasis Cases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A6E9" w14:textId="77777777" w:rsidR="000B6CEA" w:rsidRDefault="000B6CEA" w:rsidP="000B6CEA">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864457E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06E17E3"/>
    <w:multiLevelType w:val="hybridMultilevel"/>
    <w:tmpl w:val="44A2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D561C7"/>
    <w:multiLevelType w:val="hybridMultilevel"/>
    <w:tmpl w:val="C43E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95537"/>
    <w:multiLevelType w:val="hybridMultilevel"/>
    <w:tmpl w:val="ED5C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60CEE"/>
    <w:multiLevelType w:val="hybridMultilevel"/>
    <w:tmpl w:val="7644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30845"/>
    <w:multiLevelType w:val="hybridMultilevel"/>
    <w:tmpl w:val="D516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1A286D"/>
    <w:multiLevelType w:val="hybridMultilevel"/>
    <w:tmpl w:val="4EF2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3" w15:restartNumberingAfterBreak="0">
    <w:nsid w:val="395B24A7"/>
    <w:multiLevelType w:val="hybridMultilevel"/>
    <w:tmpl w:val="3B964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B24BB"/>
    <w:multiLevelType w:val="hybridMultilevel"/>
    <w:tmpl w:val="B3A0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30BE2"/>
    <w:multiLevelType w:val="hybridMultilevel"/>
    <w:tmpl w:val="10841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034772"/>
    <w:multiLevelType w:val="hybridMultilevel"/>
    <w:tmpl w:val="27903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C40041"/>
    <w:multiLevelType w:val="hybridMultilevel"/>
    <w:tmpl w:val="DD708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B37CEB"/>
    <w:multiLevelType w:val="hybridMultilevel"/>
    <w:tmpl w:val="2F90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12"/>
  </w:num>
  <w:num w:numId="4">
    <w:abstractNumId w:val="19"/>
  </w:num>
  <w:num w:numId="5">
    <w:abstractNumId w:val="5"/>
  </w:num>
  <w:num w:numId="6">
    <w:abstractNumId w:val="3"/>
  </w:num>
  <w:num w:numId="7">
    <w:abstractNumId w:val="10"/>
  </w:num>
  <w:num w:numId="8">
    <w:abstractNumId w:val="14"/>
  </w:num>
  <w:num w:numId="9">
    <w:abstractNumId w:val="6"/>
  </w:num>
  <w:num w:numId="10">
    <w:abstractNumId w:val="8"/>
  </w:num>
  <w:num w:numId="11">
    <w:abstractNumId w:val="4"/>
  </w:num>
  <w:num w:numId="12">
    <w:abstractNumId w:val="18"/>
  </w:num>
  <w:num w:numId="13">
    <w:abstractNumId w:val="16"/>
  </w:num>
  <w:num w:numId="14">
    <w:abstractNumId w:val="15"/>
  </w:num>
  <w:num w:numId="15">
    <w:abstractNumId w:val="13"/>
  </w:num>
  <w:num w:numId="16">
    <w:abstractNumId w:val="2"/>
  </w:num>
  <w:num w:numId="17">
    <w:abstractNumId w:val="9"/>
  </w:num>
  <w:num w:numId="18">
    <w:abstractNumId w:val="17"/>
  </w:num>
  <w:num w:numId="19">
    <w:abstractNumId w:val="11"/>
  </w:num>
  <w:num w:numId="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AD"/>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1D4B"/>
    <w:rsid w:val="00013349"/>
    <w:rsid w:val="00013DF1"/>
    <w:rsid w:val="00014674"/>
    <w:rsid w:val="00014974"/>
    <w:rsid w:val="00015C84"/>
    <w:rsid w:val="00017AF7"/>
    <w:rsid w:val="00017D52"/>
    <w:rsid w:val="0002112F"/>
    <w:rsid w:val="00022309"/>
    <w:rsid w:val="0002249D"/>
    <w:rsid w:val="00022A4C"/>
    <w:rsid w:val="0002320E"/>
    <w:rsid w:val="0002353B"/>
    <w:rsid w:val="00024A86"/>
    <w:rsid w:val="00024B50"/>
    <w:rsid w:val="00025C98"/>
    <w:rsid w:val="000265D3"/>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20"/>
    <w:rsid w:val="0004046D"/>
    <w:rsid w:val="00041F7C"/>
    <w:rsid w:val="00042929"/>
    <w:rsid w:val="00042A53"/>
    <w:rsid w:val="00043B11"/>
    <w:rsid w:val="00044D99"/>
    <w:rsid w:val="0004507E"/>
    <w:rsid w:val="00045658"/>
    <w:rsid w:val="0004579D"/>
    <w:rsid w:val="00046381"/>
    <w:rsid w:val="000465D8"/>
    <w:rsid w:val="000467DB"/>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A4C"/>
    <w:rsid w:val="00071ED6"/>
    <w:rsid w:val="00072EB1"/>
    <w:rsid w:val="00073277"/>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4FCD"/>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B7C"/>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B6CEA"/>
    <w:rsid w:val="000C0AB6"/>
    <w:rsid w:val="000C1F9F"/>
    <w:rsid w:val="000C1FE7"/>
    <w:rsid w:val="000C290E"/>
    <w:rsid w:val="000C2EA1"/>
    <w:rsid w:val="000C4421"/>
    <w:rsid w:val="000C5301"/>
    <w:rsid w:val="000C55FB"/>
    <w:rsid w:val="000C7331"/>
    <w:rsid w:val="000C7D2F"/>
    <w:rsid w:val="000D130A"/>
    <w:rsid w:val="000D1432"/>
    <w:rsid w:val="000D19D6"/>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74F"/>
    <w:rsid w:val="000E6424"/>
    <w:rsid w:val="000E7E99"/>
    <w:rsid w:val="000F06EF"/>
    <w:rsid w:val="000F1830"/>
    <w:rsid w:val="000F252A"/>
    <w:rsid w:val="000F30A3"/>
    <w:rsid w:val="000F3386"/>
    <w:rsid w:val="000F6709"/>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4B1"/>
    <w:rsid w:val="001278E8"/>
    <w:rsid w:val="001306BF"/>
    <w:rsid w:val="00130B66"/>
    <w:rsid w:val="001328FE"/>
    <w:rsid w:val="001332FF"/>
    <w:rsid w:val="00133CB3"/>
    <w:rsid w:val="001348F8"/>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46F84"/>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823"/>
    <w:rsid w:val="0016292B"/>
    <w:rsid w:val="00163482"/>
    <w:rsid w:val="00163E0D"/>
    <w:rsid w:val="00164630"/>
    <w:rsid w:val="001652EF"/>
    <w:rsid w:val="0016594E"/>
    <w:rsid w:val="00166394"/>
    <w:rsid w:val="00166451"/>
    <w:rsid w:val="001666BE"/>
    <w:rsid w:val="00166B0F"/>
    <w:rsid w:val="0016707C"/>
    <w:rsid w:val="001672EA"/>
    <w:rsid w:val="001700D6"/>
    <w:rsid w:val="001705B3"/>
    <w:rsid w:val="0017110F"/>
    <w:rsid w:val="00171153"/>
    <w:rsid w:val="0017225D"/>
    <w:rsid w:val="00173001"/>
    <w:rsid w:val="001733FD"/>
    <w:rsid w:val="00173894"/>
    <w:rsid w:val="001753DF"/>
    <w:rsid w:val="001754B2"/>
    <w:rsid w:val="00176439"/>
    <w:rsid w:val="001767F4"/>
    <w:rsid w:val="00176AD9"/>
    <w:rsid w:val="00180D8C"/>
    <w:rsid w:val="00181112"/>
    <w:rsid w:val="00181A05"/>
    <w:rsid w:val="0018265E"/>
    <w:rsid w:val="0018336F"/>
    <w:rsid w:val="001848C8"/>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629"/>
    <w:rsid w:val="001A0E75"/>
    <w:rsid w:val="001A10A6"/>
    <w:rsid w:val="001A1F13"/>
    <w:rsid w:val="001A20E1"/>
    <w:rsid w:val="001A28E8"/>
    <w:rsid w:val="001A3E76"/>
    <w:rsid w:val="001A43D8"/>
    <w:rsid w:val="001A4DFC"/>
    <w:rsid w:val="001A6699"/>
    <w:rsid w:val="001A6ADD"/>
    <w:rsid w:val="001A70D9"/>
    <w:rsid w:val="001A7646"/>
    <w:rsid w:val="001B04EA"/>
    <w:rsid w:val="001B0FBE"/>
    <w:rsid w:val="001B5568"/>
    <w:rsid w:val="001B5891"/>
    <w:rsid w:val="001B5F7A"/>
    <w:rsid w:val="001B60A0"/>
    <w:rsid w:val="001B6932"/>
    <w:rsid w:val="001B69BB"/>
    <w:rsid w:val="001B6A5E"/>
    <w:rsid w:val="001B6B15"/>
    <w:rsid w:val="001B7401"/>
    <w:rsid w:val="001B7553"/>
    <w:rsid w:val="001C0E2B"/>
    <w:rsid w:val="001C1B83"/>
    <w:rsid w:val="001C250B"/>
    <w:rsid w:val="001C276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EC1"/>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0AA"/>
    <w:rsid w:val="001F75AA"/>
    <w:rsid w:val="001F784B"/>
    <w:rsid w:val="002011CB"/>
    <w:rsid w:val="00201610"/>
    <w:rsid w:val="00201734"/>
    <w:rsid w:val="00201751"/>
    <w:rsid w:val="002017AB"/>
    <w:rsid w:val="0020185F"/>
    <w:rsid w:val="00201F54"/>
    <w:rsid w:val="002027E6"/>
    <w:rsid w:val="00202F08"/>
    <w:rsid w:val="002030DA"/>
    <w:rsid w:val="00203351"/>
    <w:rsid w:val="002034D9"/>
    <w:rsid w:val="00203EEB"/>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5A9"/>
    <w:rsid w:val="002338C7"/>
    <w:rsid w:val="00233BDB"/>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0DC3"/>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5292"/>
    <w:rsid w:val="00276043"/>
    <w:rsid w:val="00276073"/>
    <w:rsid w:val="00280E13"/>
    <w:rsid w:val="00281FCC"/>
    <w:rsid w:val="002820AF"/>
    <w:rsid w:val="002821AC"/>
    <w:rsid w:val="00282C1C"/>
    <w:rsid w:val="00282D12"/>
    <w:rsid w:val="00282D24"/>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48"/>
    <w:rsid w:val="002B3C7A"/>
    <w:rsid w:val="002B423A"/>
    <w:rsid w:val="002B4BA5"/>
    <w:rsid w:val="002B52AB"/>
    <w:rsid w:val="002B5BC6"/>
    <w:rsid w:val="002B63E1"/>
    <w:rsid w:val="002B6677"/>
    <w:rsid w:val="002B6D66"/>
    <w:rsid w:val="002B7711"/>
    <w:rsid w:val="002C1C30"/>
    <w:rsid w:val="002C26AD"/>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2A49"/>
    <w:rsid w:val="002E3244"/>
    <w:rsid w:val="002E32C9"/>
    <w:rsid w:val="002E3C09"/>
    <w:rsid w:val="002E4CF6"/>
    <w:rsid w:val="002E5A01"/>
    <w:rsid w:val="002E5D7E"/>
    <w:rsid w:val="002E68AB"/>
    <w:rsid w:val="002E6A3D"/>
    <w:rsid w:val="002E6D8D"/>
    <w:rsid w:val="002E789F"/>
    <w:rsid w:val="002E7B59"/>
    <w:rsid w:val="002F1392"/>
    <w:rsid w:val="002F23EC"/>
    <w:rsid w:val="002F28B9"/>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2E76"/>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3BE8"/>
    <w:rsid w:val="00334248"/>
    <w:rsid w:val="0033467F"/>
    <w:rsid w:val="00335CF3"/>
    <w:rsid w:val="0033678C"/>
    <w:rsid w:val="00337903"/>
    <w:rsid w:val="00337EC8"/>
    <w:rsid w:val="003400B7"/>
    <w:rsid w:val="0034028B"/>
    <w:rsid w:val="00340CBD"/>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0ECC"/>
    <w:rsid w:val="0035195B"/>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25BD"/>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4F59"/>
    <w:rsid w:val="00395E29"/>
    <w:rsid w:val="00395F60"/>
    <w:rsid w:val="003960B9"/>
    <w:rsid w:val="00397F8B"/>
    <w:rsid w:val="003A02DA"/>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73B"/>
    <w:rsid w:val="003B18A1"/>
    <w:rsid w:val="003B28DE"/>
    <w:rsid w:val="003B43F4"/>
    <w:rsid w:val="003B4A33"/>
    <w:rsid w:val="003B4FF9"/>
    <w:rsid w:val="003B50D0"/>
    <w:rsid w:val="003B608A"/>
    <w:rsid w:val="003B64CE"/>
    <w:rsid w:val="003B6601"/>
    <w:rsid w:val="003C025C"/>
    <w:rsid w:val="003C088D"/>
    <w:rsid w:val="003C2420"/>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BD8"/>
    <w:rsid w:val="003E1E97"/>
    <w:rsid w:val="003E2017"/>
    <w:rsid w:val="003E314C"/>
    <w:rsid w:val="003E4FC2"/>
    <w:rsid w:val="003E5278"/>
    <w:rsid w:val="003E5394"/>
    <w:rsid w:val="003E55CC"/>
    <w:rsid w:val="003E5F89"/>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C1E"/>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5D20"/>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B7E"/>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131"/>
    <w:rsid w:val="004A42F1"/>
    <w:rsid w:val="004A446E"/>
    <w:rsid w:val="004A4BD5"/>
    <w:rsid w:val="004A4C1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C7BA5"/>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16B"/>
    <w:rsid w:val="00510504"/>
    <w:rsid w:val="00510810"/>
    <w:rsid w:val="00510862"/>
    <w:rsid w:val="00511037"/>
    <w:rsid w:val="00511187"/>
    <w:rsid w:val="005119A7"/>
    <w:rsid w:val="00511F4A"/>
    <w:rsid w:val="005127EA"/>
    <w:rsid w:val="00513442"/>
    <w:rsid w:val="00513B93"/>
    <w:rsid w:val="00513C5F"/>
    <w:rsid w:val="00514C18"/>
    <w:rsid w:val="0051572B"/>
    <w:rsid w:val="00515B20"/>
    <w:rsid w:val="00516A92"/>
    <w:rsid w:val="00521929"/>
    <w:rsid w:val="00521A75"/>
    <w:rsid w:val="00522182"/>
    <w:rsid w:val="005239F8"/>
    <w:rsid w:val="005262AE"/>
    <w:rsid w:val="00526BF2"/>
    <w:rsid w:val="00526DE5"/>
    <w:rsid w:val="00526EB5"/>
    <w:rsid w:val="0053089E"/>
    <w:rsid w:val="00530950"/>
    <w:rsid w:val="00531A6C"/>
    <w:rsid w:val="00531A72"/>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4B0F"/>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47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5A8"/>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2A9"/>
    <w:rsid w:val="00592837"/>
    <w:rsid w:val="00592CC4"/>
    <w:rsid w:val="00593604"/>
    <w:rsid w:val="00593C06"/>
    <w:rsid w:val="0059415F"/>
    <w:rsid w:val="00595DD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0EA5"/>
    <w:rsid w:val="005D1947"/>
    <w:rsid w:val="005D1FA5"/>
    <w:rsid w:val="005D253D"/>
    <w:rsid w:val="005D2C1A"/>
    <w:rsid w:val="005D44D0"/>
    <w:rsid w:val="005D496E"/>
    <w:rsid w:val="005D5947"/>
    <w:rsid w:val="005D5F48"/>
    <w:rsid w:val="005D7179"/>
    <w:rsid w:val="005E037A"/>
    <w:rsid w:val="005E09B1"/>
    <w:rsid w:val="005E137B"/>
    <w:rsid w:val="005E1CBD"/>
    <w:rsid w:val="005E33FA"/>
    <w:rsid w:val="005E37C4"/>
    <w:rsid w:val="005E47D7"/>
    <w:rsid w:val="005E5002"/>
    <w:rsid w:val="005E568F"/>
    <w:rsid w:val="005E5C33"/>
    <w:rsid w:val="005E5EF6"/>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31C4"/>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7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6833"/>
    <w:rsid w:val="00647AB8"/>
    <w:rsid w:val="00651B68"/>
    <w:rsid w:val="00652756"/>
    <w:rsid w:val="00653BA9"/>
    <w:rsid w:val="0065447B"/>
    <w:rsid w:val="00654D90"/>
    <w:rsid w:val="00656470"/>
    <w:rsid w:val="006618BA"/>
    <w:rsid w:val="0066197C"/>
    <w:rsid w:val="00662A0C"/>
    <w:rsid w:val="006632B2"/>
    <w:rsid w:val="0066349E"/>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1B1"/>
    <w:rsid w:val="00675919"/>
    <w:rsid w:val="00675CFB"/>
    <w:rsid w:val="00676A67"/>
    <w:rsid w:val="00680BC8"/>
    <w:rsid w:val="00681464"/>
    <w:rsid w:val="006816D2"/>
    <w:rsid w:val="00683883"/>
    <w:rsid w:val="006841D5"/>
    <w:rsid w:val="00685568"/>
    <w:rsid w:val="00685AF7"/>
    <w:rsid w:val="00685B45"/>
    <w:rsid w:val="006866C5"/>
    <w:rsid w:val="00686D03"/>
    <w:rsid w:val="00687A6C"/>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524"/>
    <w:rsid w:val="006B56C2"/>
    <w:rsid w:val="006B60F0"/>
    <w:rsid w:val="006B7077"/>
    <w:rsid w:val="006B776F"/>
    <w:rsid w:val="006B78CC"/>
    <w:rsid w:val="006C0056"/>
    <w:rsid w:val="006C0951"/>
    <w:rsid w:val="006C1158"/>
    <w:rsid w:val="006C1BB9"/>
    <w:rsid w:val="006C220B"/>
    <w:rsid w:val="006C2A38"/>
    <w:rsid w:val="006C2A3A"/>
    <w:rsid w:val="006C2E36"/>
    <w:rsid w:val="006C2EE0"/>
    <w:rsid w:val="006C3617"/>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1390"/>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802"/>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1C6"/>
    <w:rsid w:val="007012CE"/>
    <w:rsid w:val="00702277"/>
    <w:rsid w:val="007040E8"/>
    <w:rsid w:val="00704453"/>
    <w:rsid w:val="00704F94"/>
    <w:rsid w:val="00705D4B"/>
    <w:rsid w:val="007069AC"/>
    <w:rsid w:val="00706EFE"/>
    <w:rsid w:val="0070721A"/>
    <w:rsid w:val="00707965"/>
    <w:rsid w:val="00711316"/>
    <w:rsid w:val="00711474"/>
    <w:rsid w:val="00711E37"/>
    <w:rsid w:val="00712251"/>
    <w:rsid w:val="007144FE"/>
    <w:rsid w:val="00714586"/>
    <w:rsid w:val="00716254"/>
    <w:rsid w:val="00716905"/>
    <w:rsid w:val="00716B01"/>
    <w:rsid w:val="007170A1"/>
    <w:rsid w:val="0072100C"/>
    <w:rsid w:val="00721C73"/>
    <w:rsid w:val="00722687"/>
    <w:rsid w:val="00722C15"/>
    <w:rsid w:val="00722D5F"/>
    <w:rsid w:val="007236D7"/>
    <w:rsid w:val="0072459E"/>
    <w:rsid w:val="0072486B"/>
    <w:rsid w:val="00724C5F"/>
    <w:rsid w:val="007251D0"/>
    <w:rsid w:val="00725FCE"/>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580D"/>
    <w:rsid w:val="007475A7"/>
    <w:rsid w:val="00750A74"/>
    <w:rsid w:val="00750FBF"/>
    <w:rsid w:val="0075100F"/>
    <w:rsid w:val="0075123D"/>
    <w:rsid w:val="007520DC"/>
    <w:rsid w:val="00752C12"/>
    <w:rsid w:val="00752E1E"/>
    <w:rsid w:val="00753E3A"/>
    <w:rsid w:val="007543A1"/>
    <w:rsid w:val="007545E2"/>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249"/>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A1F"/>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04C"/>
    <w:rsid w:val="007B1240"/>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3B3"/>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CDA"/>
    <w:rsid w:val="00816D57"/>
    <w:rsid w:val="00817295"/>
    <w:rsid w:val="008172CD"/>
    <w:rsid w:val="00817983"/>
    <w:rsid w:val="00817B7B"/>
    <w:rsid w:val="0082028F"/>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138A"/>
    <w:rsid w:val="00843E84"/>
    <w:rsid w:val="00844445"/>
    <w:rsid w:val="008445DD"/>
    <w:rsid w:val="00845086"/>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4CAD"/>
    <w:rsid w:val="00865BA5"/>
    <w:rsid w:val="0086607A"/>
    <w:rsid w:val="008676D6"/>
    <w:rsid w:val="0087023D"/>
    <w:rsid w:val="00870503"/>
    <w:rsid w:val="00871BAB"/>
    <w:rsid w:val="00872FA3"/>
    <w:rsid w:val="0087364C"/>
    <w:rsid w:val="00873C2B"/>
    <w:rsid w:val="00874D9C"/>
    <w:rsid w:val="00875386"/>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4BA"/>
    <w:rsid w:val="008A5755"/>
    <w:rsid w:val="008A6188"/>
    <w:rsid w:val="008B0813"/>
    <w:rsid w:val="008B0A11"/>
    <w:rsid w:val="008B0A18"/>
    <w:rsid w:val="008B0B57"/>
    <w:rsid w:val="008B0F02"/>
    <w:rsid w:val="008B32CC"/>
    <w:rsid w:val="008B34C8"/>
    <w:rsid w:val="008B3A6E"/>
    <w:rsid w:val="008B3ED6"/>
    <w:rsid w:val="008B4A04"/>
    <w:rsid w:val="008B4BA1"/>
    <w:rsid w:val="008B4CE5"/>
    <w:rsid w:val="008B5734"/>
    <w:rsid w:val="008B58FD"/>
    <w:rsid w:val="008C0BAE"/>
    <w:rsid w:val="008C0FA8"/>
    <w:rsid w:val="008C139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86A"/>
    <w:rsid w:val="008E5AB9"/>
    <w:rsid w:val="008E7F52"/>
    <w:rsid w:val="008F07FB"/>
    <w:rsid w:val="008F204A"/>
    <w:rsid w:val="008F2B1D"/>
    <w:rsid w:val="008F2FF6"/>
    <w:rsid w:val="008F3638"/>
    <w:rsid w:val="008F47A9"/>
    <w:rsid w:val="008F634A"/>
    <w:rsid w:val="008F63CA"/>
    <w:rsid w:val="008F65C7"/>
    <w:rsid w:val="008F6AC0"/>
    <w:rsid w:val="008F7961"/>
    <w:rsid w:val="008F7E92"/>
    <w:rsid w:val="009005E6"/>
    <w:rsid w:val="0090109E"/>
    <w:rsid w:val="00901B72"/>
    <w:rsid w:val="00901F22"/>
    <w:rsid w:val="009025D6"/>
    <w:rsid w:val="00903AE4"/>
    <w:rsid w:val="00903E36"/>
    <w:rsid w:val="009048B5"/>
    <w:rsid w:val="0090537D"/>
    <w:rsid w:val="009055B4"/>
    <w:rsid w:val="009064B9"/>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9C9"/>
    <w:rsid w:val="00920FA0"/>
    <w:rsid w:val="00920FD6"/>
    <w:rsid w:val="009218C7"/>
    <w:rsid w:val="00921F42"/>
    <w:rsid w:val="0092269D"/>
    <w:rsid w:val="00923305"/>
    <w:rsid w:val="0092375E"/>
    <w:rsid w:val="0092383C"/>
    <w:rsid w:val="00923A22"/>
    <w:rsid w:val="00923D7B"/>
    <w:rsid w:val="009241A5"/>
    <w:rsid w:val="00924B62"/>
    <w:rsid w:val="00924D42"/>
    <w:rsid w:val="00924E08"/>
    <w:rsid w:val="00924F2C"/>
    <w:rsid w:val="00925582"/>
    <w:rsid w:val="009256D8"/>
    <w:rsid w:val="00926766"/>
    <w:rsid w:val="00926B8A"/>
    <w:rsid w:val="009270AC"/>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8F2"/>
    <w:rsid w:val="00961D6E"/>
    <w:rsid w:val="00962311"/>
    <w:rsid w:val="00963035"/>
    <w:rsid w:val="00963831"/>
    <w:rsid w:val="00965678"/>
    <w:rsid w:val="009663E4"/>
    <w:rsid w:val="00966908"/>
    <w:rsid w:val="00966FE8"/>
    <w:rsid w:val="00967566"/>
    <w:rsid w:val="00967801"/>
    <w:rsid w:val="0096799E"/>
    <w:rsid w:val="00967B27"/>
    <w:rsid w:val="00967F9D"/>
    <w:rsid w:val="0097005F"/>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3F6C"/>
    <w:rsid w:val="009A58F7"/>
    <w:rsid w:val="009A6DD8"/>
    <w:rsid w:val="009B0771"/>
    <w:rsid w:val="009B1C81"/>
    <w:rsid w:val="009B2FB2"/>
    <w:rsid w:val="009B4397"/>
    <w:rsid w:val="009B4590"/>
    <w:rsid w:val="009B5B34"/>
    <w:rsid w:val="009B62CC"/>
    <w:rsid w:val="009B73E1"/>
    <w:rsid w:val="009C0005"/>
    <w:rsid w:val="009C0316"/>
    <w:rsid w:val="009C07BD"/>
    <w:rsid w:val="009C11B5"/>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6EEC"/>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EA1"/>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3E3B"/>
    <w:rsid w:val="00A7411B"/>
    <w:rsid w:val="00A74820"/>
    <w:rsid w:val="00A74A5D"/>
    <w:rsid w:val="00A74F21"/>
    <w:rsid w:val="00A75038"/>
    <w:rsid w:val="00A77EC3"/>
    <w:rsid w:val="00A80580"/>
    <w:rsid w:val="00A8066C"/>
    <w:rsid w:val="00A80F09"/>
    <w:rsid w:val="00A81772"/>
    <w:rsid w:val="00A81977"/>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0DE"/>
    <w:rsid w:val="00AA4651"/>
    <w:rsid w:val="00AA4B0A"/>
    <w:rsid w:val="00AA5377"/>
    <w:rsid w:val="00AA5493"/>
    <w:rsid w:val="00AA5B55"/>
    <w:rsid w:val="00AA62FE"/>
    <w:rsid w:val="00AA669B"/>
    <w:rsid w:val="00AA6895"/>
    <w:rsid w:val="00AA6CEF"/>
    <w:rsid w:val="00AA74A0"/>
    <w:rsid w:val="00AB022A"/>
    <w:rsid w:val="00AB05D6"/>
    <w:rsid w:val="00AB0FE5"/>
    <w:rsid w:val="00AB135B"/>
    <w:rsid w:val="00AB1A68"/>
    <w:rsid w:val="00AB1FA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94D"/>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3380"/>
    <w:rsid w:val="00B35DCF"/>
    <w:rsid w:val="00B365F5"/>
    <w:rsid w:val="00B36AB7"/>
    <w:rsid w:val="00B405E5"/>
    <w:rsid w:val="00B41234"/>
    <w:rsid w:val="00B42292"/>
    <w:rsid w:val="00B43277"/>
    <w:rsid w:val="00B4332B"/>
    <w:rsid w:val="00B44D3C"/>
    <w:rsid w:val="00B4589D"/>
    <w:rsid w:val="00B4672C"/>
    <w:rsid w:val="00B46F9C"/>
    <w:rsid w:val="00B47524"/>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0A0"/>
    <w:rsid w:val="00B67518"/>
    <w:rsid w:val="00B67E73"/>
    <w:rsid w:val="00B702A2"/>
    <w:rsid w:val="00B705F5"/>
    <w:rsid w:val="00B70A76"/>
    <w:rsid w:val="00B71393"/>
    <w:rsid w:val="00B716EC"/>
    <w:rsid w:val="00B71FA4"/>
    <w:rsid w:val="00B71FA5"/>
    <w:rsid w:val="00B722CC"/>
    <w:rsid w:val="00B7360C"/>
    <w:rsid w:val="00B73BB6"/>
    <w:rsid w:val="00B74626"/>
    <w:rsid w:val="00B75301"/>
    <w:rsid w:val="00B76959"/>
    <w:rsid w:val="00B76C50"/>
    <w:rsid w:val="00B7764E"/>
    <w:rsid w:val="00B77C68"/>
    <w:rsid w:val="00B77EF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535"/>
    <w:rsid w:val="00BA1865"/>
    <w:rsid w:val="00BA20D7"/>
    <w:rsid w:val="00BA3A8F"/>
    <w:rsid w:val="00BA5089"/>
    <w:rsid w:val="00BA51D4"/>
    <w:rsid w:val="00BA545C"/>
    <w:rsid w:val="00BA5B54"/>
    <w:rsid w:val="00BA5D58"/>
    <w:rsid w:val="00BA6AF4"/>
    <w:rsid w:val="00BA6EA6"/>
    <w:rsid w:val="00BA7851"/>
    <w:rsid w:val="00BB1377"/>
    <w:rsid w:val="00BB1507"/>
    <w:rsid w:val="00BB164E"/>
    <w:rsid w:val="00BB24D3"/>
    <w:rsid w:val="00BB32C3"/>
    <w:rsid w:val="00BB32FC"/>
    <w:rsid w:val="00BB3963"/>
    <w:rsid w:val="00BB466A"/>
    <w:rsid w:val="00BB50F6"/>
    <w:rsid w:val="00BB5420"/>
    <w:rsid w:val="00BB5538"/>
    <w:rsid w:val="00BB5BD2"/>
    <w:rsid w:val="00BB5CD4"/>
    <w:rsid w:val="00BB5F82"/>
    <w:rsid w:val="00BB69FB"/>
    <w:rsid w:val="00BB7632"/>
    <w:rsid w:val="00BB7AEB"/>
    <w:rsid w:val="00BC1753"/>
    <w:rsid w:val="00BC1B22"/>
    <w:rsid w:val="00BC2911"/>
    <w:rsid w:val="00BC31C5"/>
    <w:rsid w:val="00BC3817"/>
    <w:rsid w:val="00BC4039"/>
    <w:rsid w:val="00BC4606"/>
    <w:rsid w:val="00BC47EE"/>
    <w:rsid w:val="00BC529B"/>
    <w:rsid w:val="00BC53F0"/>
    <w:rsid w:val="00BC73FF"/>
    <w:rsid w:val="00BD13D1"/>
    <w:rsid w:val="00BD1B21"/>
    <w:rsid w:val="00BD1BD2"/>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198"/>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431"/>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06F"/>
    <w:rsid w:val="00C028BB"/>
    <w:rsid w:val="00C03239"/>
    <w:rsid w:val="00C03382"/>
    <w:rsid w:val="00C035BD"/>
    <w:rsid w:val="00C046FC"/>
    <w:rsid w:val="00C04A75"/>
    <w:rsid w:val="00C04E48"/>
    <w:rsid w:val="00C06322"/>
    <w:rsid w:val="00C066F7"/>
    <w:rsid w:val="00C06CD7"/>
    <w:rsid w:val="00C07294"/>
    <w:rsid w:val="00C07BCA"/>
    <w:rsid w:val="00C07EC9"/>
    <w:rsid w:val="00C10EF7"/>
    <w:rsid w:val="00C112F6"/>
    <w:rsid w:val="00C11B37"/>
    <w:rsid w:val="00C12D12"/>
    <w:rsid w:val="00C12FB2"/>
    <w:rsid w:val="00C1395D"/>
    <w:rsid w:val="00C14595"/>
    <w:rsid w:val="00C1494E"/>
    <w:rsid w:val="00C16233"/>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374"/>
    <w:rsid w:val="00C42C17"/>
    <w:rsid w:val="00C42D1F"/>
    <w:rsid w:val="00C43273"/>
    <w:rsid w:val="00C450A5"/>
    <w:rsid w:val="00C45326"/>
    <w:rsid w:val="00C46952"/>
    <w:rsid w:val="00C46B6A"/>
    <w:rsid w:val="00C47777"/>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1A99"/>
    <w:rsid w:val="00C72B42"/>
    <w:rsid w:val="00C73773"/>
    <w:rsid w:val="00C737F6"/>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554"/>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179"/>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B783A"/>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5977"/>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4762"/>
    <w:rsid w:val="00D3573C"/>
    <w:rsid w:val="00D3640A"/>
    <w:rsid w:val="00D36495"/>
    <w:rsid w:val="00D36D71"/>
    <w:rsid w:val="00D37C6F"/>
    <w:rsid w:val="00D37D8B"/>
    <w:rsid w:val="00D416FE"/>
    <w:rsid w:val="00D42B21"/>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E1C"/>
    <w:rsid w:val="00D83F4A"/>
    <w:rsid w:val="00D85455"/>
    <w:rsid w:val="00D8639F"/>
    <w:rsid w:val="00D86627"/>
    <w:rsid w:val="00D871C1"/>
    <w:rsid w:val="00D87A42"/>
    <w:rsid w:val="00D87AB1"/>
    <w:rsid w:val="00D90872"/>
    <w:rsid w:val="00D91949"/>
    <w:rsid w:val="00D91AF3"/>
    <w:rsid w:val="00D9465C"/>
    <w:rsid w:val="00D950FA"/>
    <w:rsid w:val="00D953BE"/>
    <w:rsid w:val="00D95C10"/>
    <w:rsid w:val="00D97264"/>
    <w:rsid w:val="00D97485"/>
    <w:rsid w:val="00D97D67"/>
    <w:rsid w:val="00DA107C"/>
    <w:rsid w:val="00DA2012"/>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4DCC"/>
    <w:rsid w:val="00DB5F40"/>
    <w:rsid w:val="00DB6910"/>
    <w:rsid w:val="00DB6B24"/>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2C52"/>
    <w:rsid w:val="00DD3F4B"/>
    <w:rsid w:val="00DD441D"/>
    <w:rsid w:val="00DD449B"/>
    <w:rsid w:val="00DD464C"/>
    <w:rsid w:val="00DD5EF2"/>
    <w:rsid w:val="00DD753F"/>
    <w:rsid w:val="00DD7EB0"/>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23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0F4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2A7"/>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53D"/>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3DB5"/>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1EC"/>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6DF"/>
    <w:rsid w:val="00EA3870"/>
    <w:rsid w:val="00EA3B92"/>
    <w:rsid w:val="00EA3C34"/>
    <w:rsid w:val="00EA5D5B"/>
    <w:rsid w:val="00EA5E20"/>
    <w:rsid w:val="00EA688C"/>
    <w:rsid w:val="00EA7FB8"/>
    <w:rsid w:val="00EB09F7"/>
    <w:rsid w:val="00EB0AD5"/>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CCD"/>
    <w:rsid w:val="00EC7E45"/>
    <w:rsid w:val="00ED0648"/>
    <w:rsid w:val="00ED08CE"/>
    <w:rsid w:val="00ED1629"/>
    <w:rsid w:val="00ED2859"/>
    <w:rsid w:val="00ED387E"/>
    <w:rsid w:val="00ED389B"/>
    <w:rsid w:val="00ED3EEC"/>
    <w:rsid w:val="00ED488C"/>
    <w:rsid w:val="00ED4A99"/>
    <w:rsid w:val="00ED6C11"/>
    <w:rsid w:val="00ED6C28"/>
    <w:rsid w:val="00ED72F1"/>
    <w:rsid w:val="00ED7411"/>
    <w:rsid w:val="00EE1219"/>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213"/>
    <w:rsid w:val="00F326A5"/>
    <w:rsid w:val="00F32717"/>
    <w:rsid w:val="00F327D0"/>
    <w:rsid w:val="00F332E6"/>
    <w:rsid w:val="00F37B58"/>
    <w:rsid w:val="00F4381C"/>
    <w:rsid w:val="00F44312"/>
    <w:rsid w:val="00F44569"/>
    <w:rsid w:val="00F44ACC"/>
    <w:rsid w:val="00F4689B"/>
    <w:rsid w:val="00F46D6A"/>
    <w:rsid w:val="00F47066"/>
    <w:rsid w:val="00F470C8"/>
    <w:rsid w:val="00F4741D"/>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538"/>
    <w:rsid w:val="00F62544"/>
    <w:rsid w:val="00F62617"/>
    <w:rsid w:val="00F62752"/>
    <w:rsid w:val="00F63CDA"/>
    <w:rsid w:val="00F643FC"/>
    <w:rsid w:val="00F646FF"/>
    <w:rsid w:val="00F647C9"/>
    <w:rsid w:val="00F6511E"/>
    <w:rsid w:val="00F651BB"/>
    <w:rsid w:val="00F65C46"/>
    <w:rsid w:val="00F660FB"/>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87659"/>
    <w:rsid w:val="00F900B5"/>
    <w:rsid w:val="00F91609"/>
    <w:rsid w:val="00F91BC1"/>
    <w:rsid w:val="00F92012"/>
    <w:rsid w:val="00F920A7"/>
    <w:rsid w:val="00F923C3"/>
    <w:rsid w:val="00F92EF7"/>
    <w:rsid w:val="00F9300D"/>
    <w:rsid w:val="00F958C7"/>
    <w:rsid w:val="00F964A9"/>
    <w:rsid w:val="00F969BD"/>
    <w:rsid w:val="00F96FF5"/>
    <w:rsid w:val="00F9713D"/>
    <w:rsid w:val="00F976B7"/>
    <w:rsid w:val="00FA0363"/>
    <w:rsid w:val="00FA1712"/>
    <w:rsid w:val="00FA272B"/>
    <w:rsid w:val="00FA2A28"/>
    <w:rsid w:val="00FA2D61"/>
    <w:rsid w:val="00FA3710"/>
    <w:rsid w:val="00FA45D6"/>
    <w:rsid w:val="00FA4AF8"/>
    <w:rsid w:val="00FA4C90"/>
    <w:rsid w:val="00FA6D1D"/>
    <w:rsid w:val="00FB009E"/>
    <w:rsid w:val="00FB035A"/>
    <w:rsid w:val="00FB0AB5"/>
    <w:rsid w:val="00FB0C17"/>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FAE146"/>
  <w15:docId w15:val="{B7AB5ABC-DD2C-487D-805C-53EE73E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styleId="CommentReference">
    <w:name w:val="annotation reference"/>
    <w:basedOn w:val="DefaultParagraphFont"/>
    <w:semiHidden/>
    <w:unhideWhenUsed/>
    <w:locked/>
    <w:rsid w:val="00511037"/>
    <w:rPr>
      <w:sz w:val="16"/>
      <w:szCs w:val="16"/>
    </w:rPr>
  </w:style>
  <w:style w:type="paragraph" w:styleId="CommentText">
    <w:name w:val="annotation text"/>
    <w:basedOn w:val="Normal"/>
    <w:link w:val="CommentTextChar"/>
    <w:semiHidden/>
    <w:unhideWhenUsed/>
    <w:locked/>
    <w:rsid w:val="00511037"/>
    <w:rPr>
      <w:sz w:val="20"/>
      <w:szCs w:val="20"/>
    </w:rPr>
  </w:style>
  <w:style w:type="character" w:customStyle="1" w:styleId="CommentTextChar">
    <w:name w:val="Comment Text Char"/>
    <w:basedOn w:val="DefaultParagraphFont"/>
    <w:link w:val="CommentText"/>
    <w:uiPriority w:val="99"/>
    <w:semiHidden/>
    <w:rsid w:val="00511037"/>
    <w:rPr>
      <w:sz w:val="20"/>
      <w:szCs w:val="20"/>
    </w:rPr>
  </w:style>
  <w:style w:type="paragraph" w:styleId="CommentSubject">
    <w:name w:val="annotation subject"/>
    <w:basedOn w:val="CommentText"/>
    <w:next w:val="CommentText"/>
    <w:link w:val="CommentSubjectChar"/>
    <w:semiHidden/>
    <w:unhideWhenUsed/>
    <w:locked/>
    <w:rsid w:val="00511037"/>
    <w:rPr>
      <w:b/>
      <w:bCs/>
    </w:rPr>
  </w:style>
  <w:style w:type="character" w:customStyle="1" w:styleId="CommentSubjectChar">
    <w:name w:val="Comment Subject Char"/>
    <w:basedOn w:val="CommentTextChar"/>
    <w:link w:val="CommentSubject"/>
    <w:semiHidden/>
    <w:rsid w:val="00511037"/>
    <w:rPr>
      <w:b/>
      <w:bCs/>
      <w:sz w:val="20"/>
      <w:szCs w:val="20"/>
    </w:rPr>
  </w:style>
  <w:style w:type="paragraph" w:customStyle="1" w:styleId="Default">
    <w:name w:val="Default"/>
    <w:rsid w:val="001F70AA"/>
    <w:pPr>
      <w:autoSpaceDE w:val="0"/>
      <w:autoSpaceDN w:val="0"/>
      <w:adjustRightInd w:val="0"/>
      <w:spacing w:before="0" w:after="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state.mn.us/divs/idepc/dtopics/reportable/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ealth.state.mn.us/divs/idepc/dtopics/reportable/cyclosporiasis.html" TargetMode="External"/><Relationship Id="rId17" Type="http://schemas.openxmlformats.org/officeDocument/2006/relationships/hyperlink" Target="http://www.health.state.mn.us/han/" TargetMode="External"/><Relationship Id="rId2" Type="http://schemas.openxmlformats.org/officeDocument/2006/relationships/numbering" Target="numbering.xml"/><Relationship Id="rId16" Type="http://schemas.openxmlformats.org/officeDocument/2006/relationships/hyperlink" Target="http://www.health.state.mn.us/news/pressrel/2018/cyclospora06151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state.mn.us/divs/idepc/dtopics/reportable/cryptosporidiosis.html" TargetMode="External"/><Relationship Id="rId5" Type="http://schemas.openxmlformats.org/officeDocument/2006/relationships/webSettings" Target="webSettings.xml"/><Relationship Id="rId15" Type="http://schemas.openxmlformats.org/officeDocument/2006/relationships/hyperlink" Target="http://www.health.state.mn.us/news/pressrel/2018/cyclospora061518.html" TargetMode="External"/><Relationship Id="rId10" Type="http://schemas.openxmlformats.org/officeDocument/2006/relationships/hyperlink" Target="http://www.health.state.mn.us/divs/phl/clin/forms.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dc.gov/dpdx/cyclosporiasis/index.html" TargetMode="External"/><Relationship Id="rId14" Type="http://schemas.openxmlformats.org/officeDocument/2006/relationships/hyperlink" Target="http://www.health.state.mn.us/divs/idepc/dtopics/reportabl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oibs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78B19-7EA9-4EC5-940F-34DEF220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1</TotalTime>
  <Pages>2</Pages>
  <Words>582</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Health Advisory: Health Care Providers - Think E. Coli O157 Among Patients with Bloody Diarrhea</vt:lpstr>
    </vt:vector>
  </TitlesOfParts>
  <Company>Minnesota Department of Health</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Health Care Providers - Think E. Coli O157 Among Patients with Bloody Diarrhea</dc:title>
  <dc:subject/>
  <dc:creator>Pretzel, Elly (MDH)</dc:creator>
  <cp:keywords/>
  <dc:description/>
  <cp:lastModifiedBy>Kloiber, Stefani (MDH)</cp:lastModifiedBy>
  <cp:revision>2</cp:revision>
  <cp:lastPrinted>2016-12-14T18:03:00Z</cp:lastPrinted>
  <dcterms:created xsi:type="dcterms:W3CDTF">2018-06-15T16:12:00Z</dcterms:created>
  <dcterms:modified xsi:type="dcterms:W3CDTF">2018-06-15T16:12:00Z</dcterms:modified>
</cp:coreProperties>
</file>