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3BE74" w14:textId="6B472CDA" w:rsidR="006A3584" w:rsidRDefault="002E2A49" w:rsidP="00B61327">
      <w:pPr>
        <w:pStyle w:val="LOGO"/>
      </w:pPr>
      <w:r w:rsidRPr="00B61327">
        <w:drawing>
          <wp:anchor distT="0" distB="0" distL="114300" distR="114300" simplePos="0" relativeHeight="251659264" behindDoc="0" locked="0" layoutInCell="1" allowOverlap="1" wp14:anchorId="5A8CD052" wp14:editId="250820BB">
            <wp:simplePos x="0" y="0"/>
            <wp:positionH relativeFrom="margin">
              <wp:align>left</wp:align>
            </wp:positionH>
            <wp:positionV relativeFrom="paragraph">
              <wp:posOffset>49711</wp:posOffset>
            </wp:positionV>
            <wp:extent cx="3257006" cy="465286"/>
            <wp:effectExtent l="0" t="0" r="635" b="0"/>
            <wp:wrapNone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006" cy="465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E5B15" w14:textId="70437E79" w:rsidR="00864CAD" w:rsidRPr="00B365F5" w:rsidRDefault="00864CAD" w:rsidP="002E2A49">
      <w:pPr>
        <w:pStyle w:val="Heading1"/>
        <w:spacing w:before="960"/>
        <w:rPr>
          <w:sz w:val="40"/>
          <w:szCs w:val="40"/>
        </w:rPr>
      </w:pPr>
      <w:r w:rsidRPr="002E2A49">
        <w:rPr>
          <w:sz w:val="40"/>
          <w:szCs w:val="40"/>
        </w:rPr>
        <w:t xml:space="preserve">Health Advisory: </w:t>
      </w:r>
      <w:r w:rsidR="00B365F5">
        <w:rPr>
          <w:sz w:val="40"/>
          <w:szCs w:val="40"/>
        </w:rPr>
        <w:t xml:space="preserve">Health </w:t>
      </w:r>
      <w:r w:rsidR="00240DC3">
        <w:rPr>
          <w:sz w:val="40"/>
          <w:szCs w:val="40"/>
        </w:rPr>
        <w:t>Care P</w:t>
      </w:r>
      <w:r w:rsidR="00B365F5">
        <w:rPr>
          <w:sz w:val="40"/>
          <w:szCs w:val="40"/>
        </w:rPr>
        <w:t xml:space="preserve">roviders - </w:t>
      </w:r>
      <w:r w:rsidR="00240DC3">
        <w:rPr>
          <w:sz w:val="40"/>
          <w:szCs w:val="40"/>
        </w:rPr>
        <w:t>T</w:t>
      </w:r>
      <w:r w:rsidR="00B365F5">
        <w:rPr>
          <w:sz w:val="40"/>
          <w:szCs w:val="40"/>
        </w:rPr>
        <w:t>hink</w:t>
      </w:r>
      <w:r w:rsidR="000E6424">
        <w:rPr>
          <w:sz w:val="40"/>
          <w:szCs w:val="40"/>
        </w:rPr>
        <w:t xml:space="preserve"> </w:t>
      </w:r>
      <w:r w:rsidR="00B365F5">
        <w:rPr>
          <w:i/>
          <w:sz w:val="40"/>
          <w:szCs w:val="40"/>
        </w:rPr>
        <w:t xml:space="preserve">E. </w:t>
      </w:r>
      <w:proofErr w:type="gramStart"/>
      <w:r w:rsidR="00240DC3">
        <w:rPr>
          <w:i/>
          <w:sz w:val="40"/>
          <w:szCs w:val="40"/>
        </w:rPr>
        <w:t>C</w:t>
      </w:r>
      <w:r w:rsidR="00B365F5">
        <w:rPr>
          <w:i/>
          <w:sz w:val="40"/>
          <w:szCs w:val="40"/>
        </w:rPr>
        <w:t>oli</w:t>
      </w:r>
      <w:proofErr w:type="gramEnd"/>
      <w:r w:rsidR="00B365F5">
        <w:rPr>
          <w:i/>
          <w:sz w:val="40"/>
          <w:szCs w:val="40"/>
        </w:rPr>
        <w:t xml:space="preserve"> </w:t>
      </w:r>
      <w:r w:rsidR="00B365F5">
        <w:rPr>
          <w:sz w:val="40"/>
          <w:szCs w:val="40"/>
        </w:rPr>
        <w:t>O157</w:t>
      </w:r>
      <w:r w:rsidR="00B47524">
        <w:rPr>
          <w:sz w:val="40"/>
          <w:szCs w:val="40"/>
        </w:rPr>
        <w:t xml:space="preserve"> </w:t>
      </w:r>
      <w:r w:rsidR="00240DC3">
        <w:rPr>
          <w:sz w:val="40"/>
          <w:szCs w:val="40"/>
        </w:rPr>
        <w:t>A</w:t>
      </w:r>
      <w:r w:rsidR="00F326A5">
        <w:rPr>
          <w:sz w:val="40"/>
          <w:szCs w:val="40"/>
        </w:rPr>
        <w:t>mong</w:t>
      </w:r>
      <w:r w:rsidR="00B47524">
        <w:rPr>
          <w:sz w:val="40"/>
          <w:szCs w:val="40"/>
        </w:rPr>
        <w:t xml:space="preserve"> </w:t>
      </w:r>
      <w:r w:rsidR="00240DC3">
        <w:rPr>
          <w:sz w:val="40"/>
          <w:szCs w:val="40"/>
        </w:rPr>
        <w:t>P</w:t>
      </w:r>
      <w:r w:rsidR="00B47524">
        <w:rPr>
          <w:sz w:val="40"/>
          <w:szCs w:val="40"/>
        </w:rPr>
        <w:t xml:space="preserve">atients with </w:t>
      </w:r>
      <w:r w:rsidR="00240DC3">
        <w:rPr>
          <w:sz w:val="40"/>
          <w:szCs w:val="40"/>
        </w:rPr>
        <w:t>B</w:t>
      </w:r>
      <w:r w:rsidR="00B47524">
        <w:rPr>
          <w:sz w:val="40"/>
          <w:szCs w:val="40"/>
        </w:rPr>
        <w:t xml:space="preserve">loody </w:t>
      </w:r>
      <w:r w:rsidR="00240DC3">
        <w:rPr>
          <w:sz w:val="40"/>
          <w:szCs w:val="40"/>
        </w:rPr>
        <w:t>D</w:t>
      </w:r>
      <w:r w:rsidR="00B47524">
        <w:rPr>
          <w:sz w:val="40"/>
          <w:szCs w:val="40"/>
        </w:rPr>
        <w:t>iarrhea</w:t>
      </w:r>
    </w:p>
    <w:p w14:paraId="3FB90088" w14:textId="421A13C2" w:rsidR="00816D57" w:rsidRPr="002E2A49" w:rsidRDefault="00240DC3" w:rsidP="00DD449B">
      <w:r w:rsidRPr="00240DC3">
        <w:t>Minnesota Department of Health Thu May 10 09:00 CDT 2018</w:t>
      </w:r>
      <w:r w:rsidRPr="00240DC3" w:rsidDel="00240DC3">
        <w:t xml:space="preserve"> </w:t>
      </w:r>
      <w:r w:rsidR="00816D57" w:rsidRPr="002E2A49">
        <w:rPr>
          <w:spacing w:val="-10"/>
        </w:rPr>
        <w:fldChar w:fldCharType="begin"/>
      </w:r>
      <w:r w:rsidR="00816D57" w:rsidRPr="002E2A49">
        <w:instrText xml:space="preserve"> TOC \h \z \u \t "Heading 2,1,Heading 3,2" </w:instrText>
      </w:r>
      <w:r w:rsidR="00816D57" w:rsidRPr="002E2A49">
        <w:rPr>
          <w:spacing w:val="-10"/>
        </w:rPr>
        <w:fldChar w:fldCharType="separate"/>
      </w:r>
    </w:p>
    <w:p w14:paraId="37563B52" w14:textId="77777777" w:rsidR="00607162" w:rsidRPr="00DD449B" w:rsidRDefault="00816D57" w:rsidP="00DD449B">
      <w:r w:rsidRPr="002E2A49">
        <w:fldChar w:fldCharType="end"/>
      </w:r>
      <w:r w:rsidR="00864CAD" w:rsidRPr="00D05977">
        <w:rPr>
          <w:b/>
        </w:rPr>
        <w:t>Action Steps:</w:t>
      </w:r>
    </w:p>
    <w:p w14:paraId="022E916F" w14:textId="77777777" w:rsidR="00864CAD" w:rsidRDefault="00864CAD" w:rsidP="00864CAD">
      <w:r w:rsidRPr="00D05977">
        <w:rPr>
          <w:b/>
          <w:i/>
        </w:rPr>
        <w:t>Local and tribal health departments:</w:t>
      </w:r>
      <w:r>
        <w:t xml:space="preserve"> Please forward to hospitals, clinics, emergency departments, urgent care centers, and convenience clinics</w:t>
      </w:r>
      <w:r w:rsidR="00BA1535">
        <w:t xml:space="preserve"> in your jurisdiction</w:t>
      </w:r>
      <w:r>
        <w:t>.</w:t>
      </w:r>
    </w:p>
    <w:p w14:paraId="4F8DFE3B" w14:textId="77777777" w:rsidR="00864CAD" w:rsidRDefault="00864CAD" w:rsidP="00864CAD">
      <w:r w:rsidRPr="00D05977">
        <w:rPr>
          <w:b/>
          <w:i/>
        </w:rPr>
        <w:t>Hospitals and clinics:</w:t>
      </w:r>
      <w:r>
        <w:t xml:space="preserve"> Please distribute to </w:t>
      </w:r>
      <w:r w:rsidR="00BA1535">
        <w:t xml:space="preserve">all </w:t>
      </w:r>
      <w:r>
        <w:t>health care providers in these facilities</w:t>
      </w:r>
      <w:r w:rsidR="004C7BA5">
        <w:t>.</w:t>
      </w:r>
      <w:r>
        <w:t xml:space="preserve"> </w:t>
      </w:r>
    </w:p>
    <w:p w14:paraId="464A3841" w14:textId="77777777" w:rsidR="000B6CEA" w:rsidRPr="000B6CEA" w:rsidRDefault="00864CAD" w:rsidP="000B6CEA">
      <w:pPr>
        <w:pStyle w:val="Default"/>
      </w:pPr>
      <w:r w:rsidRPr="00D05977">
        <w:rPr>
          <w:b/>
          <w:i/>
        </w:rPr>
        <w:t>Health care providers:</w:t>
      </w:r>
      <w:r w:rsidR="00F62544">
        <w:rPr>
          <w:b/>
          <w:i/>
        </w:rPr>
        <w:t xml:space="preserve"> </w:t>
      </w:r>
    </w:p>
    <w:p w14:paraId="285CECAF" w14:textId="164B5EB6" w:rsidR="000B6CEA" w:rsidRDefault="000E6424" w:rsidP="00EE1219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Always consider Shiga toxin-producing </w:t>
      </w:r>
      <w:r>
        <w:rPr>
          <w:rFonts w:cs="Calibri"/>
          <w:i/>
          <w:color w:val="000000"/>
          <w:szCs w:val="24"/>
        </w:rPr>
        <w:t xml:space="preserve">E. coli </w:t>
      </w:r>
      <w:r>
        <w:rPr>
          <w:rFonts w:cs="Calibri"/>
          <w:color w:val="000000"/>
          <w:szCs w:val="24"/>
        </w:rPr>
        <w:t xml:space="preserve">(including </w:t>
      </w:r>
      <w:r>
        <w:rPr>
          <w:rFonts w:cs="Calibri"/>
          <w:i/>
          <w:color w:val="000000"/>
          <w:szCs w:val="24"/>
        </w:rPr>
        <w:t xml:space="preserve">E. coli </w:t>
      </w:r>
      <w:r>
        <w:rPr>
          <w:rFonts w:cs="Calibri"/>
          <w:color w:val="000000"/>
          <w:szCs w:val="24"/>
        </w:rPr>
        <w:t>O157) infection in patients presenting with bloody diarrhea</w:t>
      </w:r>
      <w:r w:rsidR="00B47524">
        <w:rPr>
          <w:rFonts w:cs="Calibri"/>
          <w:color w:val="000000"/>
          <w:szCs w:val="24"/>
        </w:rPr>
        <w:t>, including adults</w:t>
      </w:r>
    </w:p>
    <w:p w14:paraId="26DF4C05" w14:textId="61604E05" w:rsidR="00C71A99" w:rsidRDefault="000E6424" w:rsidP="00EE1219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Do not treat Shiga toxin-producing </w:t>
      </w:r>
      <w:r>
        <w:rPr>
          <w:rFonts w:cs="Calibri"/>
          <w:i/>
          <w:color w:val="000000"/>
          <w:szCs w:val="24"/>
        </w:rPr>
        <w:t xml:space="preserve">E. coli </w:t>
      </w:r>
      <w:r>
        <w:rPr>
          <w:rFonts w:cs="Calibri"/>
          <w:color w:val="000000"/>
          <w:szCs w:val="24"/>
        </w:rPr>
        <w:t xml:space="preserve">(including </w:t>
      </w:r>
      <w:r>
        <w:rPr>
          <w:rFonts w:cs="Calibri"/>
          <w:i/>
          <w:color w:val="000000"/>
          <w:szCs w:val="24"/>
        </w:rPr>
        <w:t xml:space="preserve">E. coli </w:t>
      </w:r>
      <w:r>
        <w:rPr>
          <w:rFonts w:cs="Calibri"/>
          <w:color w:val="000000"/>
          <w:szCs w:val="24"/>
        </w:rPr>
        <w:t xml:space="preserve">O157) </w:t>
      </w:r>
      <w:r w:rsidR="00B365F5">
        <w:rPr>
          <w:rFonts w:cs="Calibri"/>
          <w:color w:val="000000"/>
          <w:szCs w:val="24"/>
        </w:rPr>
        <w:t>gastroenteritis</w:t>
      </w:r>
      <w:r>
        <w:rPr>
          <w:rFonts w:cs="Calibri"/>
          <w:color w:val="000000"/>
          <w:szCs w:val="24"/>
        </w:rPr>
        <w:t xml:space="preserve"> with antibiotics</w:t>
      </w:r>
    </w:p>
    <w:p w14:paraId="469DFA72" w14:textId="0BA4E362" w:rsidR="00F32213" w:rsidRPr="00F32213" w:rsidRDefault="00F32213" w:rsidP="00F32213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0" w:after="0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Patients with Shiga toxin-producing </w:t>
      </w:r>
      <w:r>
        <w:rPr>
          <w:rFonts w:cs="Calibri"/>
          <w:i/>
          <w:color w:val="000000"/>
          <w:szCs w:val="24"/>
        </w:rPr>
        <w:t xml:space="preserve">E. coli </w:t>
      </w:r>
      <w:r>
        <w:rPr>
          <w:rFonts w:cs="Calibri"/>
          <w:color w:val="000000"/>
          <w:szCs w:val="24"/>
        </w:rPr>
        <w:t xml:space="preserve">(including </w:t>
      </w:r>
      <w:r>
        <w:rPr>
          <w:rFonts w:cs="Calibri"/>
          <w:i/>
          <w:color w:val="000000"/>
          <w:szCs w:val="24"/>
        </w:rPr>
        <w:t xml:space="preserve">E. coli </w:t>
      </w:r>
      <w:r>
        <w:rPr>
          <w:rFonts w:cs="Calibri"/>
          <w:color w:val="000000"/>
          <w:szCs w:val="24"/>
        </w:rPr>
        <w:t>O157) infection may be subject to exclusion if they attend/work in food service, child care, or healthcare – please call MDH at 651-201-5414</w:t>
      </w:r>
    </w:p>
    <w:p w14:paraId="6B21648C" w14:textId="5C234ADA" w:rsidR="00040420" w:rsidRPr="000D63F4" w:rsidRDefault="00D05977" w:rsidP="00040420">
      <w:pPr>
        <w:rPr>
          <w:szCs w:val="24"/>
        </w:rPr>
      </w:pPr>
      <w:r w:rsidRPr="002E2A49">
        <w:rPr>
          <w:b/>
        </w:rPr>
        <w:t>Background</w:t>
      </w:r>
      <w:r w:rsidR="002E2A49">
        <w:br/>
      </w:r>
      <w:r w:rsidR="00924E08">
        <w:t>Ten r</w:t>
      </w:r>
      <w:r w:rsidR="000E6424">
        <w:t xml:space="preserve">ecently identified cases of </w:t>
      </w:r>
      <w:r w:rsidR="000E6424">
        <w:rPr>
          <w:i/>
        </w:rPr>
        <w:t xml:space="preserve">E. coli </w:t>
      </w:r>
      <w:r w:rsidR="000E6424">
        <w:t>O157 infection in Minnesota are linked to a national outbreak a</w:t>
      </w:r>
      <w:r w:rsidR="00040420">
        <w:t xml:space="preserve">ssociated with romaine lettuce. </w:t>
      </w:r>
      <w:r w:rsidR="00B365F5">
        <w:rPr>
          <w:szCs w:val="24"/>
        </w:rPr>
        <w:t>Individuals should not</w:t>
      </w:r>
      <w:r w:rsidR="001B6932">
        <w:rPr>
          <w:szCs w:val="24"/>
        </w:rPr>
        <w:t xml:space="preserve"> </w:t>
      </w:r>
      <w:r w:rsidR="001B6932" w:rsidRPr="001B6932">
        <w:rPr>
          <w:szCs w:val="24"/>
        </w:rPr>
        <w:t xml:space="preserve">eat, buy, or sell romaine lettuce unless </w:t>
      </w:r>
      <w:r w:rsidR="001B6932">
        <w:rPr>
          <w:szCs w:val="24"/>
        </w:rPr>
        <w:t>they can</w:t>
      </w:r>
      <w:r w:rsidR="001B6932" w:rsidRPr="001B6932">
        <w:rPr>
          <w:szCs w:val="24"/>
        </w:rPr>
        <w:t xml:space="preserve"> confirm it is not from the Yuma growing region.</w:t>
      </w:r>
    </w:p>
    <w:p w14:paraId="2DF529F6" w14:textId="5D76FE4A" w:rsidR="00014974" w:rsidRPr="00040420" w:rsidRDefault="00CB0179" w:rsidP="00040420">
      <w:r>
        <w:t xml:space="preserve">Most of the Minnesota cases are in adults. </w:t>
      </w:r>
      <w:r w:rsidR="000E6424">
        <w:t>Two of the</w:t>
      </w:r>
      <w:r>
        <w:t xml:space="preserve">se </w:t>
      </w:r>
      <w:r w:rsidR="00B365F5">
        <w:t>adults</w:t>
      </w:r>
      <w:r w:rsidR="000E6424">
        <w:t xml:space="preserve"> developed hemolytic uremic syndrome (HUS), a serious complication of Shiga toxin-producing </w:t>
      </w:r>
      <w:r w:rsidR="000E6424">
        <w:rPr>
          <w:i/>
        </w:rPr>
        <w:t xml:space="preserve">E. coli </w:t>
      </w:r>
      <w:r w:rsidR="000E6424">
        <w:t>(STEC) infection.</w:t>
      </w:r>
      <w:r w:rsidR="006B5524">
        <w:t xml:space="preserve"> </w:t>
      </w:r>
      <w:r w:rsidR="00040420" w:rsidRPr="00040420">
        <w:t xml:space="preserve">HUS </w:t>
      </w:r>
      <w:r w:rsidR="00040420">
        <w:t xml:space="preserve">is defined by </w:t>
      </w:r>
      <w:proofErr w:type="spellStart"/>
      <w:r w:rsidR="00040420" w:rsidRPr="00040420">
        <w:t>microangiopathic</w:t>
      </w:r>
      <w:proofErr w:type="spellEnd"/>
      <w:r w:rsidR="00040420" w:rsidRPr="00040420">
        <w:t xml:space="preserve"> hemolytic anemia, thrombocytopenia, and acute renal </w:t>
      </w:r>
      <w:r w:rsidR="00B365F5">
        <w:t>failure</w:t>
      </w:r>
      <w:r w:rsidR="00040420">
        <w:t>.</w:t>
      </w:r>
    </w:p>
    <w:p w14:paraId="1070DA35" w14:textId="2F2FC0DC" w:rsidR="001B6932" w:rsidRDefault="000E6424" w:rsidP="00DD449B">
      <w:pPr>
        <w:rPr>
          <w:szCs w:val="24"/>
        </w:rPr>
      </w:pPr>
      <w:r>
        <w:t xml:space="preserve">Approximately </w:t>
      </w:r>
      <w:r w:rsidRPr="000D63F4">
        <w:rPr>
          <w:szCs w:val="24"/>
        </w:rPr>
        <w:t>135 cases of</w:t>
      </w:r>
      <w:r w:rsidR="007B104C">
        <w:rPr>
          <w:szCs w:val="24"/>
        </w:rPr>
        <w:t xml:space="preserve"> </w:t>
      </w:r>
      <w:r w:rsidR="005E5EF6">
        <w:rPr>
          <w:i/>
        </w:rPr>
        <w:t xml:space="preserve">E. coli </w:t>
      </w:r>
      <w:r w:rsidRPr="000D63F4">
        <w:rPr>
          <w:szCs w:val="24"/>
        </w:rPr>
        <w:t xml:space="preserve">O157 are </w:t>
      </w:r>
      <w:r w:rsidR="00924E08">
        <w:rPr>
          <w:szCs w:val="24"/>
        </w:rPr>
        <w:t>reported each year in Min</w:t>
      </w:r>
      <w:r w:rsidR="00040420">
        <w:rPr>
          <w:szCs w:val="24"/>
        </w:rPr>
        <w:t>nesota; a</w:t>
      </w:r>
      <w:r w:rsidR="00B365F5">
        <w:rPr>
          <w:szCs w:val="24"/>
        </w:rPr>
        <w:t>bout 6.6% develop HUS. The risk of HUS is highest</w:t>
      </w:r>
      <w:r w:rsidR="00040420">
        <w:rPr>
          <w:szCs w:val="24"/>
        </w:rPr>
        <w:t xml:space="preserve"> </w:t>
      </w:r>
      <w:r w:rsidR="00B365F5">
        <w:rPr>
          <w:szCs w:val="24"/>
        </w:rPr>
        <w:t>in children, but older adults are also at increased risk of HUS</w:t>
      </w:r>
      <w:r w:rsidR="00924E08">
        <w:rPr>
          <w:szCs w:val="24"/>
        </w:rPr>
        <w:t>.</w:t>
      </w:r>
      <w:r w:rsidR="006B5524">
        <w:rPr>
          <w:szCs w:val="24"/>
        </w:rPr>
        <w:t xml:space="preserve"> </w:t>
      </w:r>
      <w:r w:rsidR="00040420" w:rsidRPr="00040420">
        <w:rPr>
          <w:szCs w:val="24"/>
        </w:rPr>
        <w:t xml:space="preserve">HUS typically develops </w:t>
      </w:r>
      <w:r w:rsidR="00B47524">
        <w:rPr>
          <w:szCs w:val="24"/>
        </w:rPr>
        <w:t xml:space="preserve">around </w:t>
      </w:r>
      <w:r w:rsidR="00040420" w:rsidRPr="00040420">
        <w:rPr>
          <w:szCs w:val="24"/>
        </w:rPr>
        <w:t>7 days (up to 2</w:t>
      </w:r>
      <w:r w:rsidR="00B47524">
        <w:rPr>
          <w:szCs w:val="24"/>
        </w:rPr>
        <w:t>-</w:t>
      </w:r>
      <w:r w:rsidR="00040420" w:rsidRPr="00040420">
        <w:rPr>
          <w:szCs w:val="24"/>
        </w:rPr>
        <w:t xml:space="preserve">3 </w:t>
      </w:r>
      <w:r w:rsidR="001B6932">
        <w:rPr>
          <w:szCs w:val="24"/>
        </w:rPr>
        <w:t>weeks) after onset of diarrhea.</w:t>
      </w:r>
    </w:p>
    <w:p w14:paraId="4A6534A7" w14:textId="161B66C1" w:rsidR="000E6424" w:rsidRDefault="001B6932" w:rsidP="00DD449B">
      <w:pPr>
        <w:rPr>
          <w:szCs w:val="24"/>
        </w:rPr>
      </w:pPr>
      <w:r w:rsidRPr="001B6932">
        <w:rPr>
          <w:szCs w:val="24"/>
        </w:rPr>
        <w:t>Antimicrobials have not been shown to be beneficial in treating</w:t>
      </w:r>
      <w:r w:rsidR="00B47524">
        <w:rPr>
          <w:szCs w:val="24"/>
        </w:rPr>
        <w:t xml:space="preserve"> </w:t>
      </w:r>
      <w:r w:rsidR="005E5EF6">
        <w:rPr>
          <w:i/>
        </w:rPr>
        <w:t xml:space="preserve">E. coli </w:t>
      </w:r>
      <w:r w:rsidRPr="001B6932">
        <w:rPr>
          <w:szCs w:val="24"/>
        </w:rPr>
        <w:t xml:space="preserve">O157 gastroenteritis, and </w:t>
      </w:r>
      <w:r w:rsidR="00B47524">
        <w:rPr>
          <w:szCs w:val="24"/>
        </w:rPr>
        <w:t xml:space="preserve">treatment with some classes of antimicrobials </w:t>
      </w:r>
      <w:r w:rsidRPr="001B6932">
        <w:rPr>
          <w:szCs w:val="24"/>
        </w:rPr>
        <w:t xml:space="preserve">increase the risk of HUS development. In addition, parenteral rehydration is recommended for children possibly infected with </w:t>
      </w:r>
      <w:r w:rsidR="005E5EF6">
        <w:rPr>
          <w:i/>
        </w:rPr>
        <w:t xml:space="preserve">E. coli </w:t>
      </w:r>
      <w:r w:rsidRPr="001B6932">
        <w:rPr>
          <w:szCs w:val="24"/>
        </w:rPr>
        <w:t>O157, at the time of presentation of bloody diarrhea and in advance of culture results.</w:t>
      </w:r>
    </w:p>
    <w:p w14:paraId="6006017D" w14:textId="0C56FC2B" w:rsidR="006367FF" w:rsidRDefault="006367FF" w:rsidP="006367FF">
      <w:pPr>
        <w:rPr>
          <w:szCs w:val="24"/>
        </w:rPr>
      </w:pPr>
      <w:r>
        <w:rPr>
          <w:szCs w:val="24"/>
        </w:rPr>
        <w:t xml:space="preserve">Different culture-independent diagnostic tests (CIDT) are available to aid in the rapid diagnosis of </w:t>
      </w:r>
      <w:r w:rsidR="005E5EF6">
        <w:rPr>
          <w:i/>
        </w:rPr>
        <w:t xml:space="preserve">E. coli </w:t>
      </w:r>
      <w:r>
        <w:rPr>
          <w:szCs w:val="24"/>
        </w:rPr>
        <w:t>O157 infection. These tests include multiplex PCR gastroenteritis syndrome panels as well as antigen tests that detect Shiga toxin (</w:t>
      </w:r>
      <w:proofErr w:type="spellStart"/>
      <w:r>
        <w:rPr>
          <w:szCs w:val="24"/>
        </w:rPr>
        <w:t>Stx</w:t>
      </w:r>
      <w:proofErr w:type="spellEnd"/>
      <w:r>
        <w:rPr>
          <w:szCs w:val="24"/>
        </w:rPr>
        <w:t>). Some tests can distinguish between Stx1 and Stx2. The strain associated with this outbreak produces Stx2. In addition to CIDTs, culture of stool for</w:t>
      </w:r>
      <w:r w:rsidR="007B104C">
        <w:rPr>
          <w:szCs w:val="24"/>
        </w:rPr>
        <w:t xml:space="preserve"> </w:t>
      </w:r>
      <w:r w:rsidRPr="00BF1591">
        <w:rPr>
          <w:i/>
          <w:szCs w:val="24"/>
        </w:rPr>
        <w:t>E. coli</w:t>
      </w:r>
      <w:r>
        <w:rPr>
          <w:szCs w:val="24"/>
        </w:rPr>
        <w:t xml:space="preserve"> O157 is needed to determine if a patient is part of this outbreak.  Therefore, the fastest diagnostic approach to fully evaluate if illness may be li</w:t>
      </w:r>
      <w:r w:rsidR="005E5EF6">
        <w:rPr>
          <w:szCs w:val="24"/>
        </w:rPr>
        <w:t>n</w:t>
      </w:r>
      <w:r>
        <w:rPr>
          <w:szCs w:val="24"/>
        </w:rPr>
        <w:t xml:space="preserve">ked to this outbreak is to perform </w:t>
      </w:r>
      <w:r w:rsidR="007B104C">
        <w:rPr>
          <w:szCs w:val="24"/>
        </w:rPr>
        <w:t xml:space="preserve">a </w:t>
      </w:r>
      <w:r>
        <w:rPr>
          <w:szCs w:val="24"/>
        </w:rPr>
        <w:t xml:space="preserve">CIDT and culture for </w:t>
      </w:r>
      <w:r w:rsidRPr="00BF1591">
        <w:rPr>
          <w:i/>
          <w:szCs w:val="24"/>
        </w:rPr>
        <w:t>E. coli</w:t>
      </w:r>
      <w:r>
        <w:rPr>
          <w:szCs w:val="24"/>
        </w:rPr>
        <w:t xml:space="preserve"> O157 simultaneously.   </w:t>
      </w:r>
    </w:p>
    <w:p w14:paraId="32920BD8" w14:textId="43CF60B3" w:rsidR="00685AF7" w:rsidRDefault="00BC47EE" w:rsidP="00BC47EE">
      <w:r w:rsidRPr="002E2A49">
        <w:rPr>
          <w:b/>
        </w:rPr>
        <w:lastRenderedPageBreak/>
        <w:t>Clinical Presentation</w:t>
      </w:r>
      <w:bookmarkStart w:id="0" w:name="_GoBack"/>
      <w:bookmarkEnd w:id="0"/>
      <w:r w:rsidR="002E2A49">
        <w:br/>
      </w:r>
      <w:r w:rsidR="001B6932" w:rsidRPr="001B6932">
        <w:t xml:space="preserve">Gastroenteritis due to </w:t>
      </w:r>
      <w:r w:rsidR="001B6932" w:rsidRPr="001B6932">
        <w:rPr>
          <w:i/>
        </w:rPr>
        <w:t xml:space="preserve">E. coli </w:t>
      </w:r>
      <w:r w:rsidR="001B6932" w:rsidRPr="001B6932">
        <w:t xml:space="preserve">O157 typically begins as watery diarrhea with prominent abdominal cramping; diarrhea frequently turns bloody after 1-2 days. </w:t>
      </w:r>
      <w:r w:rsidR="00B47524">
        <w:t>Fever is usually absent or low-grade.</w:t>
      </w:r>
      <w:r w:rsidR="001B6932" w:rsidRPr="001B6932">
        <w:t xml:space="preserve"> The typical incubation period for </w:t>
      </w:r>
      <w:r w:rsidR="001B6932" w:rsidRPr="001B6932">
        <w:rPr>
          <w:i/>
        </w:rPr>
        <w:t>E. coli</w:t>
      </w:r>
      <w:r w:rsidR="001B6932" w:rsidRPr="001B6932">
        <w:t xml:space="preserve"> O157 is 2-5 days (range, 1-8 days). </w:t>
      </w:r>
    </w:p>
    <w:p w14:paraId="1947B7CC" w14:textId="3856D520" w:rsidR="001C276B" w:rsidRPr="002E2A49" w:rsidRDefault="001C276B" w:rsidP="002E2A49">
      <w:pPr>
        <w:rPr>
          <w:rFonts w:eastAsiaTheme="majorEastAsia"/>
          <w:b/>
        </w:rPr>
      </w:pPr>
      <w:r w:rsidRPr="002E2A49">
        <w:rPr>
          <w:rFonts w:eastAsiaTheme="majorEastAsia"/>
          <w:b/>
        </w:rPr>
        <w:t>Additional Information</w:t>
      </w:r>
    </w:p>
    <w:p w14:paraId="6DF4761C" w14:textId="7EBC9931" w:rsidR="001B6932" w:rsidRDefault="006D1390" w:rsidP="00C16233">
      <w:pPr>
        <w:pStyle w:val="ListBullet"/>
        <w:numPr>
          <w:ilvl w:val="0"/>
          <w:numId w:val="15"/>
        </w:numPr>
      </w:pPr>
      <w:hyperlink r:id="rId9" w:history="1">
        <w:r w:rsidR="001B6932" w:rsidRPr="001B6932">
          <w:rPr>
            <w:rStyle w:val="Hyperlink"/>
          </w:rPr>
          <w:t>MDH Outbreak press release</w:t>
        </w:r>
      </w:hyperlink>
      <w:r w:rsidR="001B6932" w:rsidRPr="00BC2911">
        <w:t>:</w:t>
      </w:r>
    </w:p>
    <w:p w14:paraId="0825BA15" w14:textId="51C35714" w:rsidR="001B6932" w:rsidRDefault="006D1390" w:rsidP="00C16233">
      <w:pPr>
        <w:pStyle w:val="ListBullet"/>
        <w:numPr>
          <w:ilvl w:val="0"/>
          <w:numId w:val="0"/>
        </w:numPr>
        <w:ind w:left="720"/>
      </w:pPr>
      <w:hyperlink r:id="rId10" w:history="1">
        <w:r w:rsidR="00240DC3" w:rsidRPr="000D06E1">
          <w:rPr>
            <w:rStyle w:val="Hyperlink"/>
          </w:rPr>
          <w:t>http://www.health.state.mn.us/news/pressrel/2018/ecoli050818.html</w:t>
        </w:r>
      </w:hyperlink>
      <w:r w:rsidR="00240DC3">
        <w:t xml:space="preserve"> </w:t>
      </w:r>
    </w:p>
    <w:p w14:paraId="66012A52" w14:textId="032ACEF4" w:rsidR="00786A1F" w:rsidRPr="000E6424" w:rsidRDefault="00C16233" w:rsidP="00C16233">
      <w:pPr>
        <w:pStyle w:val="ListBullet"/>
        <w:numPr>
          <w:ilvl w:val="0"/>
          <w:numId w:val="15"/>
        </w:numPr>
        <w:rPr>
          <w:rStyle w:val="Hyperlink"/>
          <w:color w:val="auto"/>
          <w:u w:val="none"/>
        </w:rPr>
      </w:pPr>
      <w:r>
        <w:t xml:space="preserve">Smith et al. 2012. Antibiotic treatment of </w:t>
      </w:r>
      <w:r>
        <w:rPr>
          <w:i/>
        </w:rPr>
        <w:t xml:space="preserve">Escherichia coli </w:t>
      </w:r>
      <w:r>
        <w:t xml:space="preserve">O157 infection and the risk of hemolytic uremic syndrome, Minnesota. </w:t>
      </w:r>
      <w:proofErr w:type="spellStart"/>
      <w:r>
        <w:t>Pediatr</w:t>
      </w:r>
      <w:proofErr w:type="spellEnd"/>
      <w:r>
        <w:t xml:space="preserve"> Infect Dis J. 31(1):37-41. </w:t>
      </w:r>
    </w:p>
    <w:p w14:paraId="6FF2A4C3" w14:textId="3308C601" w:rsidR="00786A1F" w:rsidRDefault="006D1390" w:rsidP="00C16233">
      <w:pPr>
        <w:pStyle w:val="ListBullet"/>
        <w:numPr>
          <w:ilvl w:val="0"/>
          <w:numId w:val="0"/>
        </w:numPr>
        <w:ind w:left="720"/>
      </w:pPr>
      <w:hyperlink r:id="rId11" w:history="1">
        <w:r w:rsidR="00C16233" w:rsidRPr="00C16233">
          <w:rPr>
            <w:rStyle w:val="Hyperlink"/>
          </w:rPr>
          <w:t>https://www.ncbi.nlm.nih.gov/pubmed/21892124</w:t>
        </w:r>
      </w:hyperlink>
    </w:p>
    <w:p w14:paraId="569989C8" w14:textId="2902453E" w:rsidR="00C16233" w:rsidRDefault="00C16233" w:rsidP="00C16233">
      <w:pPr>
        <w:pStyle w:val="ListBullet"/>
        <w:numPr>
          <w:ilvl w:val="0"/>
          <w:numId w:val="15"/>
        </w:numPr>
      </w:pPr>
      <w:r>
        <w:t xml:space="preserve">Freedman et al. 2016. Shiga Toxin-Producing </w:t>
      </w:r>
      <w:r>
        <w:rPr>
          <w:i/>
        </w:rPr>
        <w:t xml:space="preserve">Escherichia coli </w:t>
      </w:r>
      <w:r>
        <w:t xml:space="preserve">Infection, Antibiotics, and Risk of Developing Hemolytic Uremic Syndrome: A Meta-analysis. </w:t>
      </w:r>
      <w:proofErr w:type="spellStart"/>
      <w:r>
        <w:t>Clin</w:t>
      </w:r>
      <w:proofErr w:type="spellEnd"/>
      <w:r>
        <w:t xml:space="preserve"> Infect Dis. 62(10): 1251-1258. </w:t>
      </w:r>
      <w:hyperlink r:id="rId12" w:history="1">
        <w:r w:rsidRPr="004666E0">
          <w:rPr>
            <w:rStyle w:val="Hyperlink"/>
          </w:rPr>
          <w:t>https://www.ncbi.nlm.nih.gov/pubmed/26917812</w:t>
        </w:r>
      </w:hyperlink>
    </w:p>
    <w:p w14:paraId="2951FCDE" w14:textId="480FB9FE" w:rsidR="000467DB" w:rsidRDefault="000467DB" w:rsidP="000467DB">
      <w:pPr>
        <w:pStyle w:val="ListBullet"/>
        <w:numPr>
          <w:ilvl w:val="0"/>
          <w:numId w:val="15"/>
        </w:numPr>
      </w:pPr>
      <w:r>
        <w:t xml:space="preserve">Hickey et al. 2011. Early volume expansion during diarrhea and relative </w:t>
      </w:r>
      <w:proofErr w:type="spellStart"/>
      <w:r>
        <w:t>nephroprotection</w:t>
      </w:r>
      <w:proofErr w:type="spellEnd"/>
      <w:r>
        <w:t xml:space="preserve"> during subsequent hemolytic uremic syndrome. Arch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Adolesc</w:t>
      </w:r>
      <w:proofErr w:type="spellEnd"/>
      <w:r>
        <w:t xml:space="preserve"> Med. 165(10):884-9.</w:t>
      </w:r>
      <w:r w:rsidR="00C16233" w:rsidRPr="00C16233">
        <w:t xml:space="preserve">  </w:t>
      </w:r>
      <w:hyperlink r:id="rId13" w:history="1">
        <w:r w:rsidRPr="005E4DAD">
          <w:rPr>
            <w:rStyle w:val="Hyperlink"/>
          </w:rPr>
          <w:t>https://www.ncbi.nlm.nih.gov/pubmed/21784993</w:t>
        </w:r>
      </w:hyperlink>
    </w:p>
    <w:p w14:paraId="362A9B0F" w14:textId="77777777" w:rsidR="00C16233" w:rsidRDefault="00C16233" w:rsidP="00C16233">
      <w:pPr>
        <w:pStyle w:val="ListBullet"/>
        <w:numPr>
          <w:ilvl w:val="0"/>
          <w:numId w:val="0"/>
        </w:numPr>
        <w:ind w:left="720"/>
      </w:pPr>
    </w:p>
    <w:p w14:paraId="400B883E" w14:textId="46F55962" w:rsidR="00282D12" w:rsidRDefault="00E921EC" w:rsidP="00BC47EE">
      <w:r>
        <w:t xml:space="preserve">A copy of this HAN is available at: </w:t>
      </w:r>
      <w:r w:rsidR="00F660FB" w:rsidRPr="00F660FB">
        <w:t xml:space="preserve">http://www.health.state.mn.us/han/ </w:t>
      </w:r>
    </w:p>
    <w:p w14:paraId="157684CC" w14:textId="77777777" w:rsidR="00D05977" w:rsidRDefault="00E921EC" w:rsidP="0066197C">
      <w:r>
        <w:t>The content of this message is intended for public health and health care personnel and response partners who have a need to know the information to perform their duties.</w:t>
      </w:r>
    </w:p>
    <w:sectPr w:rsidR="00D05977" w:rsidSect="00B61327">
      <w:headerReference w:type="default" r:id="rId14"/>
      <w:headerReference w:type="first" r:id="rId15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44C09" w14:textId="77777777" w:rsidR="00875386" w:rsidRDefault="00875386" w:rsidP="00D36495">
      <w:r>
        <w:separator/>
      </w:r>
    </w:p>
  </w:endnote>
  <w:endnote w:type="continuationSeparator" w:id="0">
    <w:p w14:paraId="076F0D8A" w14:textId="77777777" w:rsidR="00875386" w:rsidRDefault="00875386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9790C" w14:textId="77777777" w:rsidR="00875386" w:rsidRDefault="00875386" w:rsidP="00D36495">
      <w:r>
        <w:separator/>
      </w:r>
    </w:p>
  </w:footnote>
  <w:footnote w:type="continuationSeparator" w:id="0">
    <w:p w14:paraId="2F3CA0C3" w14:textId="77777777" w:rsidR="00875386" w:rsidRDefault="00875386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674DC" w14:textId="51EBF52F" w:rsidR="002E2A49" w:rsidRPr="006D1390" w:rsidRDefault="006D1390" w:rsidP="006D1390">
    <w:pPr>
      <w:pStyle w:val="Header"/>
    </w:pPr>
    <w:r w:rsidRPr="006D1390">
      <w:rPr>
        <w:szCs w:val="20"/>
      </w:rPr>
      <w:t>Health Advisory: Health Care Providers - Think E. Coli O157 Among Patients with Bloody Diarrhea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E6C3" w14:textId="1CDAC84A" w:rsidR="000B6CEA" w:rsidRDefault="000B6CEA" w:rsidP="000B6CEA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EE81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06E17E3"/>
    <w:multiLevelType w:val="hybridMultilevel"/>
    <w:tmpl w:val="44A2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09D561C7"/>
    <w:multiLevelType w:val="hybridMultilevel"/>
    <w:tmpl w:val="C43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60CEE"/>
    <w:multiLevelType w:val="hybridMultilevel"/>
    <w:tmpl w:val="7644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0" w15:restartNumberingAfterBreak="0">
    <w:nsid w:val="395B24A7"/>
    <w:multiLevelType w:val="hybridMultilevel"/>
    <w:tmpl w:val="8B5A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4BB"/>
    <w:multiLevelType w:val="hybridMultilevel"/>
    <w:tmpl w:val="B3A0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30BE2"/>
    <w:multiLevelType w:val="hybridMultilevel"/>
    <w:tmpl w:val="10841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034772"/>
    <w:multiLevelType w:val="hybridMultilevel"/>
    <w:tmpl w:val="27903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B37CEB"/>
    <w:multiLevelType w:val="hybridMultilevel"/>
    <w:tmpl w:val="2F90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5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14"/>
  </w:num>
  <w:num w:numId="13">
    <w:abstractNumId w:val="13"/>
  </w:num>
  <w:num w:numId="14">
    <w:abstractNumId w:val="12"/>
  </w:num>
  <w:num w:numId="15">
    <w:abstractNumId w:val="10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A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4674"/>
    <w:rsid w:val="00014974"/>
    <w:rsid w:val="00015C84"/>
    <w:rsid w:val="00017AF7"/>
    <w:rsid w:val="00017D52"/>
    <w:rsid w:val="0002112F"/>
    <w:rsid w:val="00022309"/>
    <w:rsid w:val="0002249D"/>
    <w:rsid w:val="00022A4C"/>
    <w:rsid w:val="0002320E"/>
    <w:rsid w:val="0002353B"/>
    <w:rsid w:val="00024A86"/>
    <w:rsid w:val="00024B50"/>
    <w:rsid w:val="00025C98"/>
    <w:rsid w:val="000265D3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2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7DB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A4C"/>
    <w:rsid w:val="00071ED6"/>
    <w:rsid w:val="00072EB1"/>
    <w:rsid w:val="00073277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4FCD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B7C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6CEA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C7D2F"/>
    <w:rsid w:val="000D130A"/>
    <w:rsid w:val="000D1432"/>
    <w:rsid w:val="000D19D6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574F"/>
    <w:rsid w:val="000E6424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4B1"/>
    <w:rsid w:val="001278E8"/>
    <w:rsid w:val="001306BF"/>
    <w:rsid w:val="00130B66"/>
    <w:rsid w:val="001328FE"/>
    <w:rsid w:val="001332FF"/>
    <w:rsid w:val="00133CB3"/>
    <w:rsid w:val="001348F8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46F84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823"/>
    <w:rsid w:val="0016292B"/>
    <w:rsid w:val="00163482"/>
    <w:rsid w:val="00163E0D"/>
    <w:rsid w:val="00164630"/>
    <w:rsid w:val="001652EF"/>
    <w:rsid w:val="0016594E"/>
    <w:rsid w:val="00166394"/>
    <w:rsid w:val="00166451"/>
    <w:rsid w:val="001666BE"/>
    <w:rsid w:val="00166B0F"/>
    <w:rsid w:val="0016707C"/>
    <w:rsid w:val="001672EA"/>
    <w:rsid w:val="001700D6"/>
    <w:rsid w:val="001705B3"/>
    <w:rsid w:val="0017110F"/>
    <w:rsid w:val="00171153"/>
    <w:rsid w:val="0017225D"/>
    <w:rsid w:val="00173001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8C8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629"/>
    <w:rsid w:val="001A0E75"/>
    <w:rsid w:val="001A10A6"/>
    <w:rsid w:val="001A1F13"/>
    <w:rsid w:val="001A20E1"/>
    <w:rsid w:val="001A28E8"/>
    <w:rsid w:val="001A3E76"/>
    <w:rsid w:val="001A43D8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32"/>
    <w:rsid w:val="001B69BB"/>
    <w:rsid w:val="001B6A5E"/>
    <w:rsid w:val="001B6B15"/>
    <w:rsid w:val="001B7401"/>
    <w:rsid w:val="001B7553"/>
    <w:rsid w:val="001C0E2B"/>
    <w:rsid w:val="001C1B83"/>
    <w:rsid w:val="001C250B"/>
    <w:rsid w:val="001C276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0AA"/>
    <w:rsid w:val="001F75AA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3EEB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5A9"/>
    <w:rsid w:val="002338C7"/>
    <w:rsid w:val="00233BDB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0DC3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5292"/>
    <w:rsid w:val="00276043"/>
    <w:rsid w:val="00276073"/>
    <w:rsid w:val="00280E13"/>
    <w:rsid w:val="00281FCC"/>
    <w:rsid w:val="002820AF"/>
    <w:rsid w:val="002821AC"/>
    <w:rsid w:val="00282C1C"/>
    <w:rsid w:val="00282D12"/>
    <w:rsid w:val="00282D24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26AD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2A49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8B9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2E76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BE8"/>
    <w:rsid w:val="00334248"/>
    <w:rsid w:val="0033467F"/>
    <w:rsid w:val="00335CF3"/>
    <w:rsid w:val="0033678C"/>
    <w:rsid w:val="00337903"/>
    <w:rsid w:val="00337EC8"/>
    <w:rsid w:val="003400B7"/>
    <w:rsid w:val="0034028B"/>
    <w:rsid w:val="00340CBD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ECC"/>
    <w:rsid w:val="0035195B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25BD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4F59"/>
    <w:rsid w:val="00395E29"/>
    <w:rsid w:val="00395F60"/>
    <w:rsid w:val="003960B9"/>
    <w:rsid w:val="00397F8B"/>
    <w:rsid w:val="003A02DA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73B"/>
    <w:rsid w:val="003B18A1"/>
    <w:rsid w:val="003B28DE"/>
    <w:rsid w:val="003B43F4"/>
    <w:rsid w:val="003B4A33"/>
    <w:rsid w:val="003B4FF9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BD8"/>
    <w:rsid w:val="003E1E97"/>
    <w:rsid w:val="003E2017"/>
    <w:rsid w:val="003E314C"/>
    <w:rsid w:val="003E4FC2"/>
    <w:rsid w:val="003E5278"/>
    <w:rsid w:val="003E5394"/>
    <w:rsid w:val="003E55CC"/>
    <w:rsid w:val="003E5F89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C1E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5D20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B7E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131"/>
    <w:rsid w:val="004A42F1"/>
    <w:rsid w:val="004A446E"/>
    <w:rsid w:val="004A4BD5"/>
    <w:rsid w:val="004A4C1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C7BA5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16B"/>
    <w:rsid w:val="00510504"/>
    <w:rsid w:val="00510810"/>
    <w:rsid w:val="00510862"/>
    <w:rsid w:val="00511037"/>
    <w:rsid w:val="00511187"/>
    <w:rsid w:val="005119A7"/>
    <w:rsid w:val="00511F4A"/>
    <w:rsid w:val="005127EA"/>
    <w:rsid w:val="00513442"/>
    <w:rsid w:val="00513B93"/>
    <w:rsid w:val="00513C5F"/>
    <w:rsid w:val="00514C18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1A6C"/>
    <w:rsid w:val="00531A72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4B0F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47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5A8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2A9"/>
    <w:rsid w:val="00592837"/>
    <w:rsid w:val="00592CC4"/>
    <w:rsid w:val="00593604"/>
    <w:rsid w:val="00593C06"/>
    <w:rsid w:val="0059415F"/>
    <w:rsid w:val="00595DD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0EA5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37A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5EF6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31C4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7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6833"/>
    <w:rsid w:val="00647AB8"/>
    <w:rsid w:val="00651B68"/>
    <w:rsid w:val="00652756"/>
    <w:rsid w:val="00653BA9"/>
    <w:rsid w:val="0065447B"/>
    <w:rsid w:val="00654D90"/>
    <w:rsid w:val="00656470"/>
    <w:rsid w:val="006618BA"/>
    <w:rsid w:val="0066197C"/>
    <w:rsid w:val="00662A0C"/>
    <w:rsid w:val="006632B2"/>
    <w:rsid w:val="0066349E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1B1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AF7"/>
    <w:rsid w:val="00685B45"/>
    <w:rsid w:val="006866C5"/>
    <w:rsid w:val="00686D03"/>
    <w:rsid w:val="00687A6C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524"/>
    <w:rsid w:val="006B56C2"/>
    <w:rsid w:val="006B60F0"/>
    <w:rsid w:val="006B7077"/>
    <w:rsid w:val="006B776F"/>
    <w:rsid w:val="006B78CC"/>
    <w:rsid w:val="006C0056"/>
    <w:rsid w:val="006C0951"/>
    <w:rsid w:val="006C1158"/>
    <w:rsid w:val="006C1BB9"/>
    <w:rsid w:val="006C220B"/>
    <w:rsid w:val="006C2A38"/>
    <w:rsid w:val="006C2A3A"/>
    <w:rsid w:val="006C2E36"/>
    <w:rsid w:val="006C2EE0"/>
    <w:rsid w:val="006C3617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1390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802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1C6"/>
    <w:rsid w:val="007012CE"/>
    <w:rsid w:val="00702277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2251"/>
    <w:rsid w:val="007144FE"/>
    <w:rsid w:val="00714586"/>
    <w:rsid w:val="00716254"/>
    <w:rsid w:val="00716905"/>
    <w:rsid w:val="00716B01"/>
    <w:rsid w:val="007170A1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5FCE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580D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5E2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249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A1F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04C"/>
    <w:rsid w:val="007B1240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3B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CDA"/>
    <w:rsid w:val="00816D57"/>
    <w:rsid w:val="00817295"/>
    <w:rsid w:val="008172CD"/>
    <w:rsid w:val="00817983"/>
    <w:rsid w:val="00817B7B"/>
    <w:rsid w:val="0082028F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138A"/>
    <w:rsid w:val="00843E84"/>
    <w:rsid w:val="00844445"/>
    <w:rsid w:val="008445DD"/>
    <w:rsid w:val="00845086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4CAD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5386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4BA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4CE5"/>
    <w:rsid w:val="008B5734"/>
    <w:rsid w:val="008B58FD"/>
    <w:rsid w:val="008C0BAE"/>
    <w:rsid w:val="008C0FA8"/>
    <w:rsid w:val="008C139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86A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5C7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64B9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9C9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E08"/>
    <w:rsid w:val="00924F2C"/>
    <w:rsid w:val="00925582"/>
    <w:rsid w:val="009256D8"/>
    <w:rsid w:val="00926766"/>
    <w:rsid w:val="00926B8A"/>
    <w:rsid w:val="009270AC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8F2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05F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3F6C"/>
    <w:rsid w:val="009A58F7"/>
    <w:rsid w:val="009A6DD8"/>
    <w:rsid w:val="009B0771"/>
    <w:rsid w:val="009B1C81"/>
    <w:rsid w:val="009B2FB2"/>
    <w:rsid w:val="009B4397"/>
    <w:rsid w:val="009B4590"/>
    <w:rsid w:val="009B5B34"/>
    <w:rsid w:val="009B62CC"/>
    <w:rsid w:val="009B73E1"/>
    <w:rsid w:val="009C0005"/>
    <w:rsid w:val="009C0316"/>
    <w:rsid w:val="009C07BD"/>
    <w:rsid w:val="009C11B5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6EEC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EA1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3E3B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977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0DE"/>
    <w:rsid w:val="00AA4651"/>
    <w:rsid w:val="00AA4B0A"/>
    <w:rsid w:val="00AA5377"/>
    <w:rsid w:val="00AA5493"/>
    <w:rsid w:val="00AA5B55"/>
    <w:rsid w:val="00AA62FE"/>
    <w:rsid w:val="00AA669B"/>
    <w:rsid w:val="00AA6895"/>
    <w:rsid w:val="00AA6CEF"/>
    <w:rsid w:val="00AA74A0"/>
    <w:rsid w:val="00AB022A"/>
    <w:rsid w:val="00AB05D6"/>
    <w:rsid w:val="00AB0FE5"/>
    <w:rsid w:val="00AB135B"/>
    <w:rsid w:val="00AB1A68"/>
    <w:rsid w:val="00AB1FA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94D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3380"/>
    <w:rsid w:val="00B35DCF"/>
    <w:rsid w:val="00B365F5"/>
    <w:rsid w:val="00B36AB7"/>
    <w:rsid w:val="00B405E5"/>
    <w:rsid w:val="00B41234"/>
    <w:rsid w:val="00B42292"/>
    <w:rsid w:val="00B43277"/>
    <w:rsid w:val="00B4332B"/>
    <w:rsid w:val="00B44D3C"/>
    <w:rsid w:val="00B4589D"/>
    <w:rsid w:val="00B4672C"/>
    <w:rsid w:val="00B46F9C"/>
    <w:rsid w:val="00B47524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0A0"/>
    <w:rsid w:val="00B67518"/>
    <w:rsid w:val="00B67E73"/>
    <w:rsid w:val="00B705F5"/>
    <w:rsid w:val="00B70A76"/>
    <w:rsid w:val="00B71393"/>
    <w:rsid w:val="00B716EC"/>
    <w:rsid w:val="00B71FA4"/>
    <w:rsid w:val="00B71FA5"/>
    <w:rsid w:val="00B722CC"/>
    <w:rsid w:val="00B7360C"/>
    <w:rsid w:val="00B73BB6"/>
    <w:rsid w:val="00B74626"/>
    <w:rsid w:val="00B75301"/>
    <w:rsid w:val="00B76959"/>
    <w:rsid w:val="00B76C50"/>
    <w:rsid w:val="00B7764E"/>
    <w:rsid w:val="00B77C68"/>
    <w:rsid w:val="00B77EF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535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164E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2911"/>
    <w:rsid w:val="00BC31C5"/>
    <w:rsid w:val="00BC3817"/>
    <w:rsid w:val="00BC4039"/>
    <w:rsid w:val="00BC47EE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198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431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06F"/>
    <w:rsid w:val="00C028BB"/>
    <w:rsid w:val="00C03239"/>
    <w:rsid w:val="00C03382"/>
    <w:rsid w:val="00C035BD"/>
    <w:rsid w:val="00C046FC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395D"/>
    <w:rsid w:val="00C14595"/>
    <w:rsid w:val="00C1494E"/>
    <w:rsid w:val="00C16233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374"/>
    <w:rsid w:val="00C42D1F"/>
    <w:rsid w:val="00C43273"/>
    <w:rsid w:val="00C450A5"/>
    <w:rsid w:val="00C45326"/>
    <w:rsid w:val="00C46952"/>
    <w:rsid w:val="00C46B6A"/>
    <w:rsid w:val="00C47777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1A99"/>
    <w:rsid w:val="00C72B42"/>
    <w:rsid w:val="00C73773"/>
    <w:rsid w:val="00C737F6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179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83A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5977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762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E1C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3BE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4DCC"/>
    <w:rsid w:val="00DB5F40"/>
    <w:rsid w:val="00DB6910"/>
    <w:rsid w:val="00DB6B24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3F4B"/>
    <w:rsid w:val="00DD441D"/>
    <w:rsid w:val="00DD449B"/>
    <w:rsid w:val="00DD464C"/>
    <w:rsid w:val="00DD5EF2"/>
    <w:rsid w:val="00DD753F"/>
    <w:rsid w:val="00DD7EB0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23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0F4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53D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3DB5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1EC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6DF"/>
    <w:rsid w:val="00EA3870"/>
    <w:rsid w:val="00EA3B92"/>
    <w:rsid w:val="00EA3C34"/>
    <w:rsid w:val="00EA5D5B"/>
    <w:rsid w:val="00EA5E20"/>
    <w:rsid w:val="00EA688C"/>
    <w:rsid w:val="00EA7FB8"/>
    <w:rsid w:val="00EB09F7"/>
    <w:rsid w:val="00EB0AD5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CCD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D7411"/>
    <w:rsid w:val="00EE1219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213"/>
    <w:rsid w:val="00F326A5"/>
    <w:rsid w:val="00F32717"/>
    <w:rsid w:val="00F327D0"/>
    <w:rsid w:val="00F332E6"/>
    <w:rsid w:val="00F37B58"/>
    <w:rsid w:val="00F4381C"/>
    <w:rsid w:val="00F44312"/>
    <w:rsid w:val="00F44569"/>
    <w:rsid w:val="00F44ACC"/>
    <w:rsid w:val="00F4689B"/>
    <w:rsid w:val="00F46D6A"/>
    <w:rsid w:val="00F47066"/>
    <w:rsid w:val="00F470C8"/>
    <w:rsid w:val="00F4741D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538"/>
    <w:rsid w:val="00F62544"/>
    <w:rsid w:val="00F62617"/>
    <w:rsid w:val="00F62752"/>
    <w:rsid w:val="00F63CDA"/>
    <w:rsid w:val="00F643FC"/>
    <w:rsid w:val="00F646FF"/>
    <w:rsid w:val="00F647C9"/>
    <w:rsid w:val="00F6511E"/>
    <w:rsid w:val="00F651BB"/>
    <w:rsid w:val="00F65C46"/>
    <w:rsid w:val="00F660FB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87659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9BD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4C90"/>
    <w:rsid w:val="00FA6D1D"/>
    <w:rsid w:val="00FB009E"/>
    <w:rsid w:val="00FB035A"/>
    <w:rsid w:val="00FB0AB5"/>
    <w:rsid w:val="00FB0C17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A079E1"/>
  <w15:docId w15:val="{B7AB5ABC-DD2C-487D-805C-53EE73E6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uiPriority="20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0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styleId="CommentReference">
    <w:name w:val="annotation reference"/>
    <w:basedOn w:val="DefaultParagraphFont"/>
    <w:semiHidden/>
    <w:unhideWhenUsed/>
    <w:locked/>
    <w:rsid w:val="005110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511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1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1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1037"/>
    <w:rPr>
      <w:b/>
      <w:bCs/>
      <w:sz w:val="20"/>
      <w:szCs w:val="20"/>
    </w:rPr>
  </w:style>
  <w:style w:type="paragraph" w:customStyle="1" w:styleId="Default">
    <w:name w:val="Default"/>
    <w:rsid w:val="001F70AA"/>
    <w:pPr>
      <w:autoSpaceDE w:val="0"/>
      <w:autoSpaceDN w:val="0"/>
      <w:adjustRightInd w:val="0"/>
      <w:spacing w:before="0" w:after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cbi.nlm.nih.gov/pubmed/217849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269178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218921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ealth.state.mn.us/news/pressrel/2018/ecoli05081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state.mn.us/news/pressrel/2018/ecoli050818.htm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dat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156B-B30C-4200-81DF-25C1A696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2</Pages>
  <Words>583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Health Care Providers - Think E. Coli O157 Among Patients with Bloody Diarrhea</vt:lpstr>
    </vt:vector>
  </TitlesOfParts>
  <Company>Minnesota Department of Health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Health Care Providers - Think E. Coli O157 Among Patients with Bloody Diarrhea</dc:title>
  <dc:subject/>
  <dc:creator/>
  <cp:keywords/>
  <dc:description/>
  <cp:lastModifiedBy>McAdams, Toby (MDH)</cp:lastModifiedBy>
  <cp:revision>5</cp:revision>
  <cp:lastPrinted>2016-12-14T18:03:00Z</cp:lastPrinted>
  <dcterms:created xsi:type="dcterms:W3CDTF">2018-05-09T19:10:00Z</dcterms:created>
  <dcterms:modified xsi:type="dcterms:W3CDTF">2018-05-10T13:17:00Z</dcterms:modified>
</cp:coreProperties>
</file>