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1BD1AED2" w:rsidR="00B94C9F" w:rsidRDefault="00BE1E4C" w:rsidP="00B94C9F">
      <w:pPr>
        <w:pStyle w:val="Heading1"/>
      </w:pPr>
      <w:bookmarkStart w:id="0" w:name="_Hlk67491853"/>
      <w:r w:rsidRPr="00BE1E4C">
        <w:t xml:space="preserve">Health Advisory: FDA Recall of Ultrasound Gel Due to </w:t>
      </w:r>
      <w:proofErr w:type="spellStart"/>
      <w:r w:rsidRPr="00BE1E4C">
        <w:t>Bukholderia</w:t>
      </w:r>
      <w:proofErr w:type="spellEnd"/>
      <w:r w:rsidRPr="00BE1E4C">
        <w:t xml:space="preserve"> </w:t>
      </w:r>
      <w:proofErr w:type="spellStart"/>
      <w:r w:rsidRPr="00BE1E4C">
        <w:t>cepacia</w:t>
      </w:r>
      <w:proofErr w:type="spellEnd"/>
      <w:r w:rsidRPr="00BE1E4C">
        <w:t xml:space="preserve"> complex</w:t>
      </w:r>
    </w:p>
    <w:bookmarkEnd w:id="0"/>
    <w:p w14:paraId="505B7437" w14:textId="77777777" w:rsidR="00BE1E4C" w:rsidRDefault="00BE1E4C" w:rsidP="00BE1E4C">
      <w:pPr>
        <w:pStyle w:val="NormalWeb"/>
        <w:rPr>
          <w:sz w:val="22"/>
          <w:szCs w:val="22"/>
        </w:rPr>
      </w:pPr>
      <w:r>
        <w:t>Minnesota Department of Health, Thu, Aug 5 14:00 CDT 2021</w:t>
      </w:r>
    </w:p>
    <w:p w14:paraId="5F8648B5" w14:textId="77777777" w:rsidR="00BE1E4C" w:rsidRDefault="00BE1E4C" w:rsidP="00BE1E4C">
      <w:pPr>
        <w:pStyle w:val="Heading2"/>
        <w:rPr>
          <w:rFonts w:eastAsia="Times New Roman"/>
        </w:rPr>
      </w:pPr>
      <w:r>
        <w:rPr>
          <w:rFonts w:eastAsia="Times New Roman"/>
        </w:rPr>
        <w:t>Action Steps</w:t>
      </w:r>
    </w:p>
    <w:p w14:paraId="3DA022B8" w14:textId="77777777" w:rsidR="00BE1E4C" w:rsidRDefault="00BE1E4C" w:rsidP="00BE1E4C">
      <w:pPr>
        <w:pStyle w:val="NormalWeb"/>
      </w:pPr>
      <w:r>
        <w:rPr>
          <w:b/>
          <w:bCs/>
          <w:i/>
          <w:iCs/>
        </w:rPr>
        <w:t>Local and tribal health department</w:t>
      </w:r>
      <w:r>
        <w:t xml:space="preserve">: Please forward to hospitals, clinics, urgent care centers, emergency departments, pharmacies, and convenience clinics in your jurisdiction. </w:t>
      </w:r>
      <w:r>
        <w:br/>
      </w:r>
      <w:r>
        <w:rPr>
          <w:b/>
          <w:bCs/>
          <w:i/>
          <w:iCs/>
        </w:rPr>
        <w:t xml:space="preserve">Hospitals, </w:t>
      </w:r>
      <w:proofErr w:type="gramStart"/>
      <w:r>
        <w:rPr>
          <w:b/>
          <w:bCs/>
          <w:i/>
          <w:iCs/>
        </w:rPr>
        <w:t>clinics</w:t>
      </w:r>
      <w:proofErr w:type="gramEnd"/>
      <w:r>
        <w:rPr>
          <w:b/>
          <w:bCs/>
          <w:i/>
          <w:iCs/>
        </w:rPr>
        <w:t xml:space="preserve"> and other facilities</w:t>
      </w:r>
      <w:r>
        <w:t>: Please forward to infection preventionists, infectious disease physicians, emergency department staff, hospitalists, and primary care clinicians.</w:t>
      </w:r>
      <w:r>
        <w:br/>
      </w:r>
      <w:r>
        <w:rPr>
          <w:b/>
          <w:bCs/>
          <w:i/>
          <w:iCs/>
        </w:rPr>
        <w:t>Health care providers</w:t>
      </w:r>
      <w:r>
        <w:t xml:space="preserve">: </w:t>
      </w:r>
    </w:p>
    <w:p w14:paraId="4360B3F3" w14:textId="36886384" w:rsidR="00BE1E4C" w:rsidRDefault="00BE1E4C" w:rsidP="00BE1E4C">
      <w:pPr>
        <w:numPr>
          <w:ilvl w:val="0"/>
          <w:numId w:val="44"/>
        </w:numPr>
        <w:spacing w:before="100" w:beforeAutospacing="1" w:after="100" w:afterAutospacing="1"/>
        <w:rPr>
          <w:rFonts w:eastAsia="Times New Roman"/>
        </w:rPr>
      </w:pPr>
      <w:r>
        <w:rPr>
          <w:rFonts w:eastAsia="Times New Roman"/>
        </w:rPr>
        <w:t xml:space="preserve">Immediately stop use and quarantine all lots of ultrasound gels distributed under the multiple brand names listed in the </w:t>
      </w:r>
      <w:r w:rsidRPr="00BE1E4C">
        <w:rPr>
          <w:rFonts w:eastAsia="Times New Roman"/>
          <w:shd w:val="clear" w:color="auto" w:fill="FFFFFF"/>
        </w:rPr>
        <w:t xml:space="preserve">FDA: </w:t>
      </w:r>
      <w:hyperlink r:id="rId13" w:history="1">
        <w:r w:rsidRPr="00BE1E4C">
          <w:rPr>
            <w:rStyle w:val="Hyperlink"/>
            <w:rFonts w:eastAsia="Times New Roman"/>
            <w:shd w:val="clear" w:color="auto" w:fill="FFFFFF"/>
          </w:rPr>
          <w:t>FDA: Eco-Med Pharmaceutical Issues Voluntary Recall of Eco-Gel 200 https://www.fda.gov/safety/recalls-market-withdrawals-safety-alerts/eco-med-pharmaceutical-issues-voluntary-recall-eco-gel-200</w:t>
        </w:r>
      </w:hyperlink>
    </w:p>
    <w:p w14:paraId="6FE45993" w14:textId="7EC122A5" w:rsidR="00BE1E4C" w:rsidRDefault="00BE1E4C" w:rsidP="00BE1E4C">
      <w:pPr>
        <w:numPr>
          <w:ilvl w:val="0"/>
          <w:numId w:val="44"/>
        </w:numPr>
        <w:spacing w:before="100" w:beforeAutospacing="1" w:after="100" w:afterAutospacing="1"/>
        <w:rPr>
          <w:rFonts w:eastAsia="Times New Roman"/>
        </w:rPr>
      </w:pPr>
      <w:r>
        <w:rPr>
          <w:rFonts w:eastAsia="Times New Roman"/>
        </w:rPr>
        <w:t xml:space="preserve">Identify the affected products, Eco Gel 200 or </w:t>
      </w:r>
      <w:proofErr w:type="spellStart"/>
      <w:r>
        <w:rPr>
          <w:rFonts w:eastAsia="Times New Roman"/>
        </w:rPr>
        <w:t>MediChoice</w:t>
      </w:r>
      <w:proofErr w:type="spellEnd"/>
      <w:r>
        <w:rPr>
          <w:rFonts w:eastAsia="Times New Roman"/>
        </w:rPr>
        <w:t xml:space="preserve"> M500812, by lot number (B029, B030, B031, B032, B040, B041, B048 and B055) and immediately destroy or return products from affected lots to Eco-Med.</w:t>
      </w:r>
    </w:p>
    <w:p w14:paraId="264D569D" w14:textId="597D49E8" w:rsidR="00BE1E4C" w:rsidRDefault="00BE1E4C" w:rsidP="00BE1E4C">
      <w:pPr>
        <w:numPr>
          <w:ilvl w:val="0"/>
          <w:numId w:val="44"/>
        </w:numPr>
        <w:spacing w:before="100" w:beforeAutospacing="1" w:after="100" w:afterAutospacing="1"/>
        <w:rPr>
          <w:rFonts w:eastAsia="Times New Roman"/>
        </w:rPr>
      </w:pPr>
      <w:r>
        <w:rPr>
          <w:rFonts w:eastAsia="Times New Roman"/>
        </w:rPr>
        <w:t xml:space="preserve">Conduct a look back for non-respiratory cases of </w:t>
      </w:r>
      <w:proofErr w:type="spellStart"/>
      <w:r>
        <w:rPr>
          <w:rFonts w:eastAsia="Times New Roman"/>
        </w:rPr>
        <w:t>Burkholderia</w:t>
      </w:r>
      <w:proofErr w:type="spellEnd"/>
      <w:r>
        <w:rPr>
          <w:rFonts w:eastAsia="Times New Roman"/>
        </w:rPr>
        <w:t xml:space="preserve"> </w:t>
      </w:r>
      <w:proofErr w:type="spellStart"/>
      <w:r>
        <w:rPr>
          <w:rFonts w:eastAsia="Times New Roman"/>
        </w:rPr>
        <w:t>cepacia</w:t>
      </w:r>
      <w:proofErr w:type="spellEnd"/>
      <w:r>
        <w:rPr>
          <w:rFonts w:eastAsia="Times New Roman"/>
        </w:rPr>
        <w:t xml:space="preserve"> complex (Bcc) since June 1, </w:t>
      </w:r>
      <w:proofErr w:type="gramStart"/>
      <w:r>
        <w:rPr>
          <w:rFonts w:eastAsia="Times New Roman"/>
        </w:rPr>
        <w:t>2021</w:t>
      </w:r>
      <w:proofErr w:type="gramEnd"/>
      <w:r>
        <w:rPr>
          <w:rFonts w:eastAsia="Times New Roman"/>
        </w:rPr>
        <w:t xml:space="preserve"> and report any cases to MDH.</w:t>
      </w:r>
    </w:p>
    <w:p w14:paraId="00008268" w14:textId="525B1232" w:rsidR="00BE1E4C" w:rsidRDefault="00BE1E4C" w:rsidP="00BE1E4C">
      <w:pPr>
        <w:numPr>
          <w:ilvl w:val="0"/>
          <w:numId w:val="44"/>
        </w:numPr>
        <w:spacing w:before="100" w:beforeAutospacing="1" w:after="100" w:afterAutospacing="1"/>
        <w:rPr>
          <w:rFonts w:eastAsia="Times New Roman"/>
        </w:rPr>
      </w:pPr>
      <w:r>
        <w:rPr>
          <w:rFonts w:eastAsia="Times New Roman"/>
        </w:rPr>
        <w:t>Hold clinical isolates at the clinical laboratory until MDH provides further communication.</w:t>
      </w:r>
    </w:p>
    <w:p w14:paraId="2E977A31" w14:textId="33323EDC" w:rsidR="00BE1E4C" w:rsidRDefault="00BE1E4C" w:rsidP="00BE1E4C">
      <w:pPr>
        <w:numPr>
          <w:ilvl w:val="0"/>
          <w:numId w:val="44"/>
        </w:numPr>
        <w:spacing w:before="100" w:beforeAutospacing="1" w:after="100" w:afterAutospacing="1"/>
        <w:rPr>
          <w:rFonts w:eastAsia="Times New Roman"/>
        </w:rPr>
      </w:pPr>
      <w:r>
        <w:rPr>
          <w:rFonts w:eastAsia="Times New Roman"/>
        </w:rPr>
        <w:t>Report cases of Bcc associated with these products to</w:t>
      </w:r>
      <w:r w:rsidRPr="00BE1E4C">
        <w:rPr>
          <w:rFonts w:eastAsia="Times New Roman"/>
        </w:rPr>
        <w:t xml:space="preserve"> </w:t>
      </w:r>
      <w:hyperlink r:id="rId14" w:history="1">
        <w:r w:rsidRPr="00BE1E4C">
          <w:rPr>
            <w:rStyle w:val="Hyperlink"/>
            <w:rFonts w:eastAsia="Times New Roman"/>
          </w:rPr>
          <w:t>FDA MedWatch: https://www.fda.gov/safety/medwatch-fda-safety-information-and-adverse-event-reporting-program/reporting-serious-problems-fda</w:t>
        </w:r>
      </w:hyperlink>
    </w:p>
    <w:p w14:paraId="04377C4D" w14:textId="17683776" w:rsidR="00BE1E4C" w:rsidRDefault="00BE1E4C" w:rsidP="00BE1E4C">
      <w:pPr>
        <w:numPr>
          <w:ilvl w:val="0"/>
          <w:numId w:val="44"/>
        </w:numPr>
        <w:spacing w:before="100" w:beforeAutospacing="1" w:after="100" w:afterAutospacing="1"/>
        <w:rPr>
          <w:rFonts w:eastAsia="Times New Roman"/>
        </w:rPr>
      </w:pPr>
      <w:r>
        <w:rPr>
          <w:rFonts w:eastAsia="Times New Roman"/>
        </w:rPr>
        <w:t>Report all non-respiratory cases of Bcc to MDH, since June 1, 2021, and ongoing at 1-877-676-5414 (toll-free) or 651-201-5414.</w:t>
      </w:r>
    </w:p>
    <w:p w14:paraId="5FA856B6" w14:textId="77777777" w:rsidR="00BE1E4C" w:rsidRDefault="00BE1E4C" w:rsidP="00BE1E4C">
      <w:pPr>
        <w:pStyle w:val="Heading2"/>
        <w:rPr>
          <w:rFonts w:eastAsia="Times New Roman"/>
        </w:rPr>
      </w:pPr>
      <w:r>
        <w:rPr>
          <w:rFonts w:eastAsia="Times New Roman"/>
        </w:rPr>
        <w:t>Background</w:t>
      </w:r>
    </w:p>
    <w:p w14:paraId="58135B8F" w14:textId="77777777" w:rsidR="00BE1E4C" w:rsidRDefault="00BE1E4C" w:rsidP="00BE1E4C">
      <w:pPr>
        <w:pStyle w:val="NormalWeb"/>
      </w:pPr>
      <w:r>
        <w:t xml:space="preserve">The Minnesota Department of Health (MDH) is alerting healthcare facilities of a voluntary recall and quarantine of Eco Gel 200 </w:t>
      </w:r>
      <w:proofErr w:type="spellStart"/>
      <w:r>
        <w:t>MediChoice</w:t>
      </w:r>
      <w:proofErr w:type="spellEnd"/>
      <w:r>
        <w:t xml:space="preserve"> M500812 ultrasound gel because of contamination with </w:t>
      </w:r>
      <w:proofErr w:type="spellStart"/>
      <w:r>
        <w:t>Burkholderia</w:t>
      </w:r>
      <w:proofErr w:type="spellEnd"/>
      <w:r>
        <w:t xml:space="preserve"> </w:t>
      </w:r>
      <w:proofErr w:type="spellStart"/>
      <w:r>
        <w:t>cepacia</w:t>
      </w:r>
      <w:proofErr w:type="spellEnd"/>
      <w:r>
        <w:t xml:space="preserve"> complex (Bcc) bacteria. Cases of Bcc associated with this product have been reported in Minnesota.</w:t>
      </w:r>
    </w:p>
    <w:p w14:paraId="79AC55D0" w14:textId="14247061" w:rsidR="00BE1E4C" w:rsidRDefault="00BE1E4C" w:rsidP="00BE1E4C">
      <w:pPr>
        <w:pStyle w:val="NormalWeb"/>
      </w:pPr>
      <w:r>
        <w:t xml:space="preserve">MDH is investigating a multi-state cluster of Bcc cases associated with these products, including 8 cases identified to date in Minnesota. MDH is asking health care organizations to do a look back for non-respiratory cases of Bcc since June 1, </w:t>
      </w:r>
      <w:proofErr w:type="gramStart"/>
      <w:r>
        <w:t>2021</w:t>
      </w:r>
      <w:proofErr w:type="gramEnd"/>
      <w:r>
        <w:t xml:space="preserve"> and report any cases to MDH. We also request that you continue to report new cases. Available clinical isolates should be held at the clinical laboratory until MDH provides further communication.</w:t>
      </w:r>
    </w:p>
    <w:p w14:paraId="6364F6BC" w14:textId="54F7E9CA" w:rsidR="00BE1E4C" w:rsidRDefault="00BE1E4C" w:rsidP="00BE1E4C">
      <w:pPr>
        <w:pStyle w:val="NormalWeb"/>
      </w:pPr>
      <w:r>
        <w:t>Bcc can be transmitted through contaminated medical devices or medications, resulting in healthcare-associated clusters and outbreaks.</w:t>
      </w:r>
    </w:p>
    <w:p w14:paraId="335A72F9" w14:textId="462A9B24" w:rsidR="00BE1E4C" w:rsidRDefault="00BE1E4C" w:rsidP="00BE1E4C">
      <w:pPr>
        <w:pStyle w:val="NormalWeb"/>
      </w:pPr>
      <w:r>
        <w:lastRenderedPageBreak/>
        <w:t xml:space="preserve">For more information regarding B. </w:t>
      </w:r>
      <w:proofErr w:type="spellStart"/>
      <w:r>
        <w:t>cepacia</w:t>
      </w:r>
      <w:proofErr w:type="spellEnd"/>
      <w:r>
        <w:t xml:space="preserve"> in healthcare setting please visit </w:t>
      </w:r>
      <w:r w:rsidRPr="008D040D">
        <w:rPr>
          <w:shd w:val="clear" w:color="auto" w:fill="FFFFFF"/>
        </w:rPr>
        <w:t xml:space="preserve">CDC </w:t>
      </w:r>
      <w:proofErr w:type="spellStart"/>
      <w:r w:rsidRPr="008D040D">
        <w:rPr>
          <w:shd w:val="clear" w:color="auto" w:fill="FFFFFF"/>
        </w:rPr>
        <w:t>Burkholderia</w:t>
      </w:r>
      <w:proofErr w:type="spellEnd"/>
      <w:r w:rsidRPr="008D040D">
        <w:rPr>
          <w:shd w:val="clear" w:color="auto" w:fill="FFFFFF"/>
        </w:rPr>
        <w:t xml:space="preserve"> </w:t>
      </w:r>
      <w:proofErr w:type="spellStart"/>
      <w:r w:rsidRPr="008D040D">
        <w:rPr>
          <w:shd w:val="clear" w:color="auto" w:fill="FFFFFF"/>
        </w:rPr>
        <w:t>cepacia</w:t>
      </w:r>
      <w:proofErr w:type="spellEnd"/>
      <w:r w:rsidRPr="008D040D">
        <w:rPr>
          <w:shd w:val="clear" w:color="auto" w:fill="FFFFFF"/>
        </w:rPr>
        <w:t xml:space="preserve"> in Healthcare Settings https://www.cdc.gov/hai/organisms/bcepacia.html</w:t>
      </w:r>
    </w:p>
    <w:p w14:paraId="2FF98AC8" w14:textId="77777777" w:rsidR="00BE1E4C" w:rsidRDefault="00BE1E4C" w:rsidP="00BE1E4C">
      <w:pPr>
        <w:pStyle w:val="Heading2"/>
        <w:rPr>
          <w:rFonts w:eastAsia="Times New Roman"/>
        </w:rPr>
      </w:pPr>
      <w:r>
        <w:rPr>
          <w:rFonts w:eastAsia="Times New Roman"/>
        </w:rPr>
        <w:t>For More Information</w:t>
      </w:r>
    </w:p>
    <w:p w14:paraId="134DE9B5" w14:textId="598DA385" w:rsidR="00BE1E4C" w:rsidRDefault="00BE1E4C" w:rsidP="00BE1E4C">
      <w:pPr>
        <w:numPr>
          <w:ilvl w:val="0"/>
          <w:numId w:val="45"/>
        </w:numPr>
        <w:spacing w:before="100" w:beforeAutospacing="1" w:after="100" w:afterAutospacing="1"/>
        <w:rPr>
          <w:rFonts w:eastAsia="Times New Roman"/>
        </w:rPr>
      </w:pPr>
      <w:r w:rsidRPr="008D040D">
        <w:rPr>
          <w:shd w:val="clear" w:color="auto" w:fill="FFFFFF"/>
        </w:rPr>
        <w:t>CDC Burkholderia cepacia in Healthcare</w:t>
      </w:r>
      <w:r w:rsidRPr="008D040D">
        <w:rPr>
          <w:shd w:val="clear" w:color="auto" w:fill="FFFFFF"/>
        </w:rPr>
        <w:t xml:space="preserve"> </w:t>
      </w:r>
      <w:r w:rsidRPr="008D040D">
        <w:rPr>
          <w:shd w:val="clear" w:color="auto" w:fill="FFFFFF"/>
        </w:rPr>
        <w:t>Settings https://www.cdc.gov/hai/organisms/bcepacia.html</w:t>
      </w:r>
    </w:p>
    <w:p w14:paraId="2F0B906F" w14:textId="135C9304" w:rsidR="00BE1E4C" w:rsidRDefault="008D040D" w:rsidP="00BE1E4C">
      <w:pPr>
        <w:numPr>
          <w:ilvl w:val="0"/>
          <w:numId w:val="45"/>
        </w:numPr>
        <w:spacing w:before="100" w:beforeAutospacing="1" w:after="100" w:afterAutospacing="1"/>
        <w:rPr>
          <w:rFonts w:eastAsia="Times New Roman"/>
        </w:rPr>
      </w:pPr>
      <w:hyperlink r:id="rId15" w:history="1">
        <w:r w:rsidR="00BE1E4C">
          <w:rPr>
            <w:rStyle w:val="Hyperlink"/>
            <w:rFonts w:eastAsia="Times New Roman"/>
          </w:rPr>
          <w:t>FDA: Eco-Med Pharmaceutical I</w:t>
        </w:r>
        <w:r w:rsidR="00BE1E4C">
          <w:rPr>
            <w:rStyle w:val="Hyperlink"/>
            <w:rFonts w:eastAsia="Times New Roman"/>
          </w:rPr>
          <w:t>s</w:t>
        </w:r>
        <w:r w:rsidR="00BE1E4C">
          <w:rPr>
            <w:rStyle w:val="Hyperlink"/>
            <w:rFonts w:eastAsia="Times New Roman"/>
          </w:rPr>
          <w:t>sues Voluntary Recall of Eco-Gel 200 https://www.fda.gov/safety/medwatch-fda-safety-information-and-adverse-event-reporting-program/reporting-serious-problems-fda</w:t>
        </w:r>
      </w:hyperlink>
    </w:p>
    <w:p w14:paraId="3BF234B9" w14:textId="46E81431" w:rsidR="002C256C" w:rsidRPr="00704A3C" w:rsidRDefault="00704A3C" w:rsidP="00704A3C">
      <w:pPr>
        <w:pStyle w:val="NormalWeb"/>
      </w:pPr>
      <w:r>
        <w:t xml:space="preserve">A copy of this HAN is available at: </w:t>
      </w:r>
      <w:hyperlink r:id="rId16" w:history="1">
        <w:r>
          <w:rPr>
            <w:rStyle w:val="Hyperlink"/>
          </w:rPr>
          <w:t>MDH Health Alert Network</w:t>
        </w:r>
      </w:hyperlink>
      <w:r>
        <w:t xml:space="preserve"> (</w:t>
      </w:r>
      <w:hyperlink r:id="rId17"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2C256C" w:rsidRPr="00704A3C" w:rsidSect="00F61439">
      <w:headerReference w:type="default" r:id="rId18"/>
      <w:footerReference w:type="default" r:id="rId19"/>
      <w:footerReference w:type="first" r:id="rId2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17F9C042" w:rsidR="00782710" w:rsidRPr="00BE1E4C" w:rsidRDefault="00BE1E4C" w:rsidP="00BE1E4C">
    <w:pPr>
      <w:pStyle w:val="Header"/>
    </w:pPr>
    <w:r w:rsidRPr="00BE1E4C">
      <w:t>Health Advisory: FDA Recall of Ultrasound Gel Due to Bukholderia cepacia complex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5DE50ED"/>
    <w:multiLevelType w:val="multilevel"/>
    <w:tmpl w:val="CD94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99014B1"/>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83E1B"/>
    <w:multiLevelType w:val="multilevel"/>
    <w:tmpl w:val="9BFC8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002E8C"/>
    <w:multiLevelType w:val="multilevel"/>
    <w:tmpl w:val="FDF2E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2D4990"/>
    <w:multiLevelType w:val="multilevel"/>
    <w:tmpl w:val="AC282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B334E"/>
    <w:multiLevelType w:val="multilevel"/>
    <w:tmpl w:val="DD42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16899"/>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C13B7"/>
    <w:multiLevelType w:val="multilevel"/>
    <w:tmpl w:val="88B4C196"/>
    <w:numStyleLink w:val="Listbullets"/>
  </w:abstractNum>
  <w:abstractNum w:abstractNumId="12" w15:restartNumberingAfterBreak="0">
    <w:nsid w:val="1FA41DCE"/>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E76AF"/>
    <w:multiLevelType w:val="multilevel"/>
    <w:tmpl w:val="C5863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B7CAF"/>
    <w:multiLevelType w:val="multilevel"/>
    <w:tmpl w:val="2D56A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A90817"/>
    <w:multiLevelType w:val="multilevel"/>
    <w:tmpl w:val="113C7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147EF"/>
    <w:multiLevelType w:val="multilevel"/>
    <w:tmpl w:val="88B4C196"/>
    <w:numStyleLink w:val="Listbullets"/>
  </w:abstractNum>
  <w:abstractNum w:abstractNumId="17" w15:restartNumberingAfterBreak="0">
    <w:nsid w:val="286315AC"/>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F2C7C"/>
    <w:multiLevelType w:val="multilevel"/>
    <w:tmpl w:val="B27C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0" w15:restartNumberingAfterBreak="0">
    <w:nsid w:val="41BD24FD"/>
    <w:multiLevelType w:val="multilevel"/>
    <w:tmpl w:val="67CA4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C4D36"/>
    <w:multiLevelType w:val="multilevel"/>
    <w:tmpl w:val="D07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E116C"/>
    <w:multiLevelType w:val="multilevel"/>
    <w:tmpl w:val="26CCB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62AD9"/>
    <w:multiLevelType w:val="multilevel"/>
    <w:tmpl w:val="E9BC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4EE61176"/>
    <w:multiLevelType w:val="multilevel"/>
    <w:tmpl w:val="35B4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E7F9F"/>
    <w:multiLevelType w:val="multilevel"/>
    <w:tmpl w:val="7322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C4423"/>
    <w:multiLevelType w:val="multilevel"/>
    <w:tmpl w:val="5282D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A4B66"/>
    <w:multiLevelType w:val="hybridMultilevel"/>
    <w:tmpl w:val="BB0A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D973C5B"/>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91C24"/>
    <w:multiLevelType w:val="multilevel"/>
    <w:tmpl w:val="82FE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D695B"/>
    <w:multiLevelType w:val="multilevel"/>
    <w:tmpl w:val="3C7E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307902"/>
    <w:multiLevelType w:val="multilevel"/>
    <w:tmpl w:val="249A9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D037F"/>
    <w:multiLevelType w:val="multilevel"/>
    <w:tmpl w:val="B8DAF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DA2F4E"/>
    <w:multiLevelType w:val="multilevel"/>
    <w:tmpl w:val="DADA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E413E"/>
    <w:multiLevelType w:val="multilevel"/>
    <w:tmpl w:val="7098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A21602"/>
    <w:multiLevelType w:val="multilevel"/>
    <w:tmpl w:val="1AC09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5343C3"/>
    <w:multiLevelType w:val="multilevel"/>
    <w:tmpl w:val="8016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135CF2"/>
    <w:multiLevelType w:val="multilevel"/>
    <w:tmpl w:val="F2B81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86CF7"/>
    <w:multiLevelType w:val="multilevel"/>
    <w:tmpl w:val="1AFA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2" w15:restartNumberingAfterBreak="0">
    <w:nsid w:val="7C1B7085"/>
    <w:multiLevelType w:val="multilevel"/>
    <w:tmpl w:val="FC6E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E432B4"/>
    <w:multiLevelType w:val="multilevel"/>
    <w:tmpl w:val="E35C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B4721A"/>
    <w:multiLevelType w:val="multilevel"/>
    <w:tmpl w:val="37E4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2556464">
    <w:abstractNumId w:val="1"/>
  </w:num>
  <w:num w:numId="2" w16cid:durableId="275452118">
    <w:abstractNumId w:val="0"/>
  </w:num>
  <w:num w:numId="3" w16cid:durableId="937761386">
    <w:abstractNumId w:val="19"/>
  </w:num>
  <w:num w:numId="4" w16cid:durableId="405685834">
    <w:abstractNumId w:val="41"/>
  </w:num>
  <w:num w:numId="5" w16cid:durableId="1607612984">
    <w:abstractNumId w:val="4"/>
  </w:num>
  <w:num w:numId="6" w16cid:durableId="1521968059">
    <w:abstractNumId w:val="2"/>
  </w:num>
  <w:num w:numId="7" w16cid:durableId="1665401374">
    <w:abstractNumId w:val="16"/>
  </w:num>
  <w:num w:numId="8" w16cid:durableId="1285967104">
    <w:abstractNumId w:val="11"/>
  </w:num>
  <w:num w:numId="9" w16cid:durableId="783425467">
    <w:abstractNumId w:val="31"/>
  </w:num>
  <w:num w:numId="10" w16cid:durableId="1526554057">
    <w:abstractNumId w:val="24"/>
  </w:num>
  <w:num w:numId="11" w16cid:durableId="253590201">
    <w:abstractNumId w:val="23"/>
  </w:num>
  <w:num w:numId="12" w16cid:durableId="682392031">
    <w:abstractNumId w:val="3"/>
  </w:num>
  <w:num w:numId="13" w16cid:durableId="1112438520">
    <w:abstractNumId w:val="36"/>
  </w:num>
  <w:num w:numId="14" w16cid:durableId="1782338839">
    <w:abstractNumId w:val="32"/>
  </w:num>
  <w:num w:numId="15" w16cid:durableId="16116242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0233367">
    <w:abstractNumId w:val="18"/>
  </w:num>
  <w:num w:numId="17" w16cid:durableId="406147954">
    <w:abstractNumId w:val="25"/>
  </w:num>
  <w:num w:numId="18" w16cid:durableId="1095711321">
    <w:abstractNumId w:val="22"/>
  </w:num>
  <w:num w:numId="19" w16cid:durableId="232930111">
    <w:abstractNumId w:val="21"/>
  </w:num>
  <w:num w:numId="20" w16cid:durableId="1049846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6573747">
    <w:abstractNumId w:val="44"/>
  </w:num>
  <w:num w:numId="22" w16cid:durableId="447628727">
    <w:abstractNumId w:val="9"/>
  </w:num>
  <w:num w:numId="23" w16cid:durableId="1182626335">
    <w:abstractNumId w:val="13"/>
  </w:num>
  <w:num w:numId="24" w16cid:durableId="1367873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035357">
    <w:abstractNumId w:val="26"/>
  </w:num>
  <w:num w:numId="26" w16cid:durableId="1790587024">
    <w:abstractNumId w:val="37"/>
  </w:num>
  <w:num w:numId="27" w16cid:durableId="1061292715">
    <w:abstractNumId w:val="30"/>
  </w:num>
  <w:num w:numId="28" w16cid:durableId="1794210176">
    <w:abstractNumId w:val="43"/>
  </w:num>
  <w:num w:numId="29" w16cid:durableId="1449931530">
    <w:abstractNumId w:val="38"/>
  </w:num>
  <w:num w:numId="30" w16cid:durableId="1983192493">
    <w:abstractNumId w:val="8"/>
  </w:num>
  <w:num w:numId="31" w16cid:durableId="1398282722">
    <w:abstractNumId w:val="7"/>
  </w:num>
  <w:num w:numId="32" w16cid:durableId="1830168924">
    <w:abstractNumId w:val="42"/>
  </w:num>
  <w:num w:numId="33" w16cid:durableId="1977641395">
    <w:abstractNumId w:val="39"/>
  </w:num>
  <w:num w:numId="34" w16cid:durableId="824934222">
    <w:abstractNumId w:val="34"/>
  </w:num>
  <w:num w:numId="35" w16cid:durableId="348921186">
    <w:abstractNumId w:val="20"/>
  </w:num>
  <w:num w:numId="36" w16cid:durableId="1216576643">
    <w:abstractNumId w:val="27"/>
  </w:num>
  <w:num w:numId="37" w16cid:durableId="332026549">
    <w:abstractNumId w:val="29"/>
  </w:num>
  <w:num w:numId="38" w16cid:durableId="1306277566">
    <w:abstractNumId w:val="17"/>
  </w:num>
  <w:num w:numId="39" w16cid:durableId="1819574147">
    <w:abstractNumId w:val="12"/>
  </w:num>
  <w:num w:numId="40" w16cid:durableId="1376541007">
    <w:abstractNumId w:val="10"/>
  </w:num>
  <w:num w:numId="41" w16cid:durableId="2089423851">
    <w:abstractNumId w:val="5"/>
  </w:num>
  <w:num w:numId="42" w16cid:durableId="2051297120">
    <w:abstractNumId w:val="35"/>
  </w:num>
  <w:num w:numId="43" w16cid:durableId="1420715272">
    <w:abstractNumId w:val="15"/>
  </w:num>
  <w:num w:numId="44" w16cid:durableId="42952107">
    <w:abstractNumId w:val="40"/>
  </w:num>
  <w:num w:numId="45" w16cid:durableId="182408193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336"/>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040D"/>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DE1"/>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5757"/>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FCB"/>
    <w:pPr>
      <w:spacing w:before="0" w:after="0"/>
    </w:pPr>
    <w:rPr>
      <w:rFonts w:ascii="Times New Roman" w:eastAsiaTheme="minorHAnsi" w:hAnsi="Times New Roman" w:cs="Times New Roman"/>
      <w:sz w:val="24"/>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da.gov/safety/recalls-market-withdrawals-safety-alerts/eco-med-pharmaceutical-issues-voluntary-recall-eco-gel-20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www.health.state.mn.us/h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da.gov/safety/medwatch-fda-safety-information-and-adverse-event-reporting-program/reporting-serious-problems-fd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da.gov/safety/medwatch-fda-safety-information-and-adverse-event-reporting-program/reporting-serious-problems-fd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2006/documentManagement/types"/>
    <ds:schemaRef ds:uri="http://purl.org/dc/elements/1.1/"/>
    <ds:schemaRef ds:uri="98f01fe9-c3f2-4582-9148-d87bd0c242e7"/>
    <ds:schemaRef ds:uri="http://www.w3.org/XML/1998/namespace"/>
    <ds:schemaRef ds:uri="fc253db8-c1a2-4032-adc2-d3fbd160fc76"/>
    <ds:schemaRef ds:uri="http://schemas.microsoft.com/office/2006/metadata/properties"/>
    <ds:schemaRef ds:uri="http://purl.org/dc/terms/"/>
    <ds:schemaRef ds:uri="http://schemas.openxmlformats.org/package/2006/metadata/core-properties"/>
    <ds:schemaRef ds:uri="http://schemas.microsoft.com/office/infopath/2007/PartnerControls"/>
    <ds:schemaRef ds:uri="8837c207-459e-4c9e-ae67-73e2034e87a2"/>
    <ds:schemaRef ds:uri="http://purl.org/dc/dcmitype/"/>
  </ds:schemaRefs>
</ds:datastoreItem>
</file>

<file path=customXml/itemProps3.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10</TotalTime>
  <Pages>2</Pages>
  <Words>412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Health Advisory: FDA Recall of Ultrasound Gel Due to Bukholderia cepacia complex</vt:lpstr>
    </vt:vector>
  </TitlesOfParts>
  <Company>State of Minnesota</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FDA Recall of Ultrasound Gel Due to Bukholderia cepacia complex</dc:title>
  <dc:subject/>
  <dc:creator>MN Dept of Health</dc:creator>
  <cp:keywords/>
  <dc:description/>
  <cp:lastModifiedBy>McAdams, Toby (MDH)</cp:lastModifiedBy>
  <cp:revision>4</cp:revision>
  <cp:lastPrinted>2016-12-14T18:03:00Z</cp:lastPrinted>
  <dcterms:created xsi:type="dcterms:W3CDTF">2021-08-05T18:10:00Z</dcterms:created>
  <dcterms:modified xsi:type="dcterms:W3CDTF">2024-06-13T20:24:00Z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