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06BD50F2" w:rsidR="00B94C9F" w:rsidRDefault="00AE6FCB" w:rsidP="00B94C9F">
      <w:pPr>
        <w:pStyle w:val="Heading1"/>
      </w:pPr>
      <w:bookmarkStart w:id="0" w:name="_Hlk67491853"/>
      <w:r w:rsidRPr="00AE6FCB">
        <w:t xml:space="preserve">Health </w:t>
      </w:r>
      <w:r w:rsidR="002C256C">
        <w:t>Advisory</w:t>
      </w:r>
      <w:r w:rsidRPr="00AE6FCB">
        <w:t xml:space="preserve">: </w:t>
      </w:r>
      <w:r w:rsidR="00757E4C" w:rsidRPr="00757E4C">
        <w:t>Brucellosis Outbreak Associated with Soft Cheese in Twin Cities</w:t>
      </w:r>
    </w:p>
    <w:bookmarkEnd w:id="0"/>
    <w:p w14:paraId="384FA5C9" w14:textId="773B875F" w:rsidR="00577F1F" w:rsidRDefault="00A348F7" w:rsidP="00577F1F">
      <w:pPr>
        <w:pStyle w:val="NormalWeb"/>
        <w:rPr>
          <w:sz w:val="22"/>
          <w:szCs w:val="22"/>
        </w:rPr>
      </w:pPr>
      <w:r w:rsidRPr="00A348F7">
        <w:t xml:space="preserve">Minnesota Department of Health, </w:t>
      </w:r>
      <w:r w:rsidR="00713171">
        <w:t>Thu</w:t>
      </w:r>
      <w:r w:rsidRPr="00A348F7">
        <w:t xml:space="preserve">, </w:t>
      </w:r>
      <w:r w:rsidR="00757E4C">
        <w:t>July</w:t>
      </w:r>
      <w:r w:rsidRPr="00A348F7">
        <w:t xml:space="preserve"> </w:t>
      </w:r>
      <w:r w:rsidR="00713171">
        <w:t>1</w:t>
      </w:r>
      <w:r w:rsidRPr="00A348F7">
        <w:t xml:space="preserve"> 1</w:t>
      </w:r>
      <w:r w:rsidR="00713171">
        <w:t>2</w:t>
      </w:r>
      <w:r w:rsidRPr="00A348F7">
        <w:t>:00 CDT 2021</w:t>
      </w:r>
    </w:p>
    <w:p w14:paraId="6297E07E" w14:textId="77777777" w:rsidR="00577F1F" w:rsidRDefault="00577F1F" w:rsidP="00577F1F">
      <w:pPr>
        <w:pStyle w:val="Heading2"/>
        <w:rPr>
          <w:rFonts w:eastAsia="Times New Roman"/>
        </w:rPr>
      </w:pPr>
      <w:r>
        <w:rPr>
          <w:rFonts w:eastAsia="Times New Roman"/>
        </w:rPr>
        <w:t>Action Steps</w:t>
      </w:r>
    </w:p>
    <w:p w14:paraId="0132B6DD" w14:textId="5E3A242E" w:rsidR="00A348F7" w:rsidRPr="0009234B" w:rsidRDefault="0009234B" w:rsidP="0009234B">
      <w:pPr>
        <w:pStyle w:val="NormalWeb"/>
        <w:rPr>
          <w:b/>
          <w:bCs/>
          <w:i/>
          <w:iCs/>
        </w:rPr>
      </w:pPr>
      <w:r w:rsidRPr="0009234B">
        <w:rPr>
          <w:b/>
          <w:bCs/>
          <w:i/>
          <w:iCs/>
        </w:rPr>
        <w:t xml:space="preserve">Local and tribal health department: </w:t>
      </w:r>
      <w:r w:rsidR="00713171" w:rsidRPr="00713171">
        <w:t xml:space="preserve">Please forward to hospitals, clinics, urgent care centers, emergency departments, pharmacies, and convenience clinics in the Metro area only: </w:t>
      </w:r>
      <w:r w:rsidR="00713171" w:rsidRPr="00713171">
        <w:rPr>
          <w:b/>
          <w:bCs/>
        </w:rPr>
        <w:t>Anoka, Carver, Dakota, Hennepin, Ramsey, Scott</w:t>
      </w:r>
      <w:r w:rsidR="00713171" w:rsidRPr="00713171">
        <w:t xml:space="preserve"> and </w:t>
      </w:r>
      <w:r w:rsidR="00713171" w:rsidRPr="00713171">
        <w:rPr>
          <w:b/>
          <w:bCs/>
        </w:rPr>
        <w:t>Washington</w:t>
      </w:r>
      <w:r w:rsidR="00713171" w:rsidRPr="00713171">
        <w:t xml:space="preserve"> counties.</w:t>
      </w:r>
      <w:r w:rsidRPr="0009234B">
        <w:br/>
      </w:r>
      <w:r w:rsidRPr="0009234B">
        <w:rPr>
          <w:b/>
          <w:bCs/>
          <w:i/>
          <w:iCs/>
        </w:rPr>
        <w:t xml:space="preserve">Hospitals, clinics and other facilities: </w:t>
      </w:r>
      <w:r w:rsidRPr="0009234B">
        <w:t>Please forward to infection preventionists, infectious disease physicians, emergency department staff, hospitalists, and primary care clinicians.</w:t>
      </w:r>
      <w:r w:rsidRPr="0009234B">
        <w:br/>
      </w:r>
      <w:r w:rsidRPr="0009234B">
        <w:rPr>
          <w:b/>
          <w:bCs/>
          <w:i/>
          <w:iCs/>
        </w:rPr>
        <w:t>Health care providers:</w:t>
      </w:r>
      <w:r w:rsidR="00A348F7">
        <w:t xml:space="preserve"> </w:t>
      </w:r>
    </w:p>
    <w:p w14:paraId="704BBFB4" w14:textId="77777777" w:rsidR="00713171" w:rsidRDefault="00713171" w:rsidP="00713171">
      <w:pPr>
        <w:numPr>
          <w:ilvl w:val="0"/>
          <w:numId w:val="32"/>
        </w:numPr>
        <w:spacing w:before="100" w:beforeAutospacing="1" w:after="100" w:afterAutospacing="1"/>
        <w:rPr>
          <w:rFonts w:eastAsia="Times New Roman"/>
          <w:sz w:val="22"/>
          <w:szCs w:val="22"/>
        </w:rPr>
      </w:pPr>
      <w:r>
        <w:rPr>
          <w:rFonts w:eastAsia="Times New Roman"/>
        </w:rPr>
        <w:t xml:space="preserve">Test for brucellosis in patients with febrile illness who report having consumed soft cheese brought from Mexico. </w:t>
      </w:r>
    </w:p>
    <w:p w14:paraId="25065600" w14:textId="77777777" w:rsidR="00713171" w:rsidRDefault="00713171" w:rsidP="00713171">
      <w:pPr>
        <w:numPr>
          <w:ilvl w:val="0"/>
          <w:numId w:val="32"/>
        </w:numPr>
        <w:spacing w:before="100" w:beforeAutospacing="1" w:after="100" w:afterAutospacing="1"/>
        <w:rPr>
          <w:rFonts w:eastAsia="Times New Roman"/>
        </w:rPr>
      </w:pPr>
      <w:r>
        <w:rPr>
          <w:rFonts w:eastAsia="Times New Roman"/>
        </w:rPr>
        <w:t xml:space="preserve">Culture blood or other relevant specimens and alert the laboratory of suspected diagnosis. Serological testing for </w:t>
      </w:r>
      <w:r>
        <w:rPr>
          <w:rFonts w:eastAsia="Times New Roman"/>
          <w:i/>
          <w:iCs/>
        </w:rPr>
        <w:t>Brucella</w:t>
      </w:r>
      <w:r>
        <w:rPr>
          <w:rFonts w:eastAsia="Times New Roman"/>
        </w:rPr>
        <w:t xml:space="preserve"> may be ordered through clinical reference laboratories as well, but this is not considered confirmatory testing.</w:t>
      </w:r>
    </w:p>
    <w:p w14:paraId="7F1E1058" w14:textId="77777777" w:rsidR="00713171" w:rsidRDefault="00713171" w:rsidP="00713171">
      <w:pPr>
        <w:numPr>
          <w:ilvl w:val="0"/>
          <w:numId w:val="32"/>
        </w:numPr>
        <w:spacing w:before="100" w:beforeAutospacing="1" w:after="100" w:afterAutospacing="1"/>
        <w:rPr>
          <w:rFonts w:eastAsia="Times New Roman"/>
        </w:rPr>
      </w:pPr>
      <w:r>
        <w:rPr>
          <w:rFonts w:eastAsia="Times New Roman"/>
        </w:rPr>
        <w:t>Recommend antimicrobial prophylaxis, symptom watch, and serologic monitoring for anyone who reports that they ate this cheese, even if they are not symptomatic. For more information call: 651-201-5414.</w:t>
      </w:r>
    </w:p>
    <w:p w14:paraId="3F65F1B6" w14:textId="77777777" w:rsidR="00713171" w:rsidRDefault="00713171" w:rsidP="00713171">
      <w:pPr>
        <w:numPr>
          <w:ilvl w:val="0"/>
          <w:numId w:val="32"/>
        </w:numPr>
        <w:spacing w:before="100" w:beforeAutospacing="1" w:after="100" w:afterAutospacing="1"/>
        <w:rPr>
          <w:rFonts w:eastAsia="Times New Roman"/>
        </w:rPr>
      </w:pPr>
      <w:r>
        <w:rPr>
          <w:rFonts w:eastAsia="Times New Roman"/>
        </w:rPr>
        <w:t xml:space="preserve">Treat brucellosis with doxycycline and rifampin for a minimum of 6-8 weeks. Consult an Infectious Disease specialist. </w:t>
      </w:r>
    </w:p>
    <w:p w14:paraId="6568B539" w14:textId="48C0E77F" w:rsidR="00757E4C" w:rsidRDefault="00713171" w:rsidP="00757E4C">
      <w:pPr>
        <w:numPr>
          <w:ilvl w:val="0"/>
          <w:numId w:val="32"/>
        </w:numPr>
        <w:spacing w:before="100" w:beforeAutospacing="1" w:after="100" w:afterAutospacing="1"/>
        <w:rPr>
          <w:rFonts w:eastAsia="Times New Roman"/>
        </w:rPr>
      </w:pPr>
      <w:hyperlink r:id="rId13" w:history="1">
        <w:r w:rsidR="00757E4C">
          <w:rPr>
            <w:rStyle w:val="Hyperlink"/>
            <w:rFonts w:eastAsia="Times New Roman"/>
          </w:rPr>
          <w:t xml:space="preserve">Report suspected or confirmed brucellosis cases (https://www.health.state.mn.us/diseases/brucellosis/report.html) </w:t>
        </w:r>
      </w:hyperlink>
      <w:r w:rsidR="00757E4C">
        <w:rPr>
          <w:rFonts w:eastAsia="Times New Roman"/>
        </w:rPr>
        <w:t xml:space="preserve">to MDH </w:t>
      </w:r>
      <w:r>
        <w:rPr>
          <w:rFonts w:eastAsia="Times New Roman"/>
        </w:rPr>
        <w:t xml:space="preserve">immediately </w:t>
      </w:r>
      <w:r w:rsidR="00757E4C">
        <w:rPr>
          <w:rFonts w:eastAsia="Times New Roman"/>
        </w:rPr>
        <w:t>by phone to 651-201-5414 or 877-676-5414.</w:t>
      </w:r>
    </w:p>
    <w:p w14:paraId="0779783B" w14:textId="1C0D65B8" w:rsidR="00704A3C" w:rsidRDefault="00704A3C" w:rsidP="00704A3C">
      <w:pPr>
        <w:pStyle w:val="Heading2"/>
        <w:rPr>
          <w:rFonts w:eastAsia="Times New Roman"/>
        </w:rPr>
      </w:pPr>
      <w:r>
        <w:rPr>
          <w:rFonts w:eastAsia="Times New Roman"/>
        </w:rPr>
        <w:t>Background</w:t>
      </w:r>
    </w:p>
    <w:p w14:paraId="3AAC2EE6" w14:textId="77777777" w:rsidR="00757E4C" w:rsidRDefault="00757E4C" w:rsidP="00757E4C">
      <w:pPr>
        <w:pStyle w:val="NormalWeb"/>
      </w:pPr>
      <w:r>
        <w:t xml:space="preserve">Three Minnesotans, and a possible 4th, were recently diagnosed with infections caused by </w:t>
      </w:r>
      <w:r>
        <w:rPr>
          <w:i/>
          <w:iCs/>
        </w:rPr>
        <w:t xml:space="preserve">Brucella </w:t>
      </w:r>
      <w:proofErr w:type="spellStart"/>
      <w:r>
        <w:rPr>
          <w:i/>
          <w:iCs/>
        </w:rPr>
        <w:t>melitensis</w:t>
      </w:r>
      <w:proofErr w:type="spellEnd"/>
      <w:r>
        <w:t>. All reported eating soft cheese that was brought into Minnesota from Mexico and distributed privately. The cheese was distributed in the Twin Cities metro area. It was wrapped in tinfoil and had no other markings on the packaging. The cases had illness onsets the end of May to the beginning of June 2021.</w:t>
      </w:r>
    </w:p>
    <w:p w14:paraId="7A901195" w14:textId="77777777" w:rsidR="00757E4C" w:rsidRDefault="00757E4C" w:rsidP="00757E4C">
      <w:pPr>
        <w:pStyle w:val="NormalWeb"/>
      </w:pPr>
      <w:r>
        <w:rPr>
          <w:i/>
          <w:iCs/>
        </w:rPr>
        <w:t xml:space="preserve">Brucella </w:t>
      </w:r>
      <w:proofErr w:type="spellStart"/>
      <w:r>
        <w:rPr>
          <w:i/>
          <w:iCs/>
        </w:rPr>
        <w:t>melitensis</w:t>
      </w:r>
      <w:proofErr w:type="spellEnd"/>
      <w:r>
        <w:t xml:space="preserve">, one of the causative agents of brucellosis, is a Tier 1 select agent. Local exposure to </w:t>
      </w:r>
      <w:r>
        <w:rPr>
          <w:i/>
          <w:iCs/>
        </w:rPr>
        <w:t xml:space="preserve">B. </w:t>
      </w:r>
      <w:proofErr w:type="spellStart"/>
      <w:r>
        <w:rPr>
          <w:i/>
          <w:iCs/>
        </w:rPr>
        <w:t>melitensis</w:t>
      </w:r>
      <w:proofErr w:type="spellEnd"/>
      <w:r>
        <w:t xml:space="preserve"> occurs rarely in the United States, but is common in countries where </w:t>
      </w:r>
      <w:r>
        <w:rPr>
          <w:i/>
          <w:iCs/>
        </w:rPr>
        <w:t xml:space="preserve">B. </w:t>
      </w:r>
      <w:proofErr w:type="spellStart"/>
      <w:r>
        <w:rPr>
          <w:i/>
          <w:iCs/>
        </w:rPr>
        <w:t>melitensis</w:t>
      </w:r>
      <w:proofErr w:type="spellEnd"/>
      <w:r>
        <w:t xml:space="preserve"> is still endemic in the dairy animal population, including Mexico. Approximately 75% of brucellosis cases in the United States are due to consumption of unpasteurized dairy products from these areas. </w:t>
      </w:r>
    </w:p>
    <w:p w14:paraId="03FF6DC7" w14:textId="77777777" w:rsidR="00757E4C" w:rsidRDefault="00757E4C" w:rsidP="00757E4C">
      <w:pPr>
        <w:pStyle w:val="NormalWeb"/>
      </w:pPr>
      <w:r>
        <w:t xml:space="preserve">Symptoms of brucellosis are varied and nonspecific and may include fever, headache, night sweats, arthralgia, headache, fatigue, anorexia, myalgia, and weight loss. Foodborne cases of brucellosis often present with signs of systemic illness, rather than gastrointestinal illness, though </w:t>
      </w:r>
      <w:r>
        <w:lastRenderedPageBreak/>
        <w:t xml:space="preserve">nausea, vomiting, and abdominal pain are reported in a subset of cases. Disease manifestations can include lymphadenopathy, arthritis/spondylitis, meningitis, or focal organ involvement (endocarditis, orchitis/epididymitis, hepatomegaly, splenomegaly). Splenomegaly occurs in 20-30% of cases and lymphadenopathy in 10-20% of cases. The incubation period is highly variable, but the average is 2-4 weeks. Because of the nonspecific symptoms, brucellosis can be misdiagnosed as other febrile illnesses. Initial presentation among the three Minnesotans ranged from fever and headache to severe illness with aortic vegetation. </w:t>
      </w:r>
    </w:p>
    <w:p w14:paraId="3F5365EF" w14:textId="2B7DD944" w:rsidR="0009234B" w:rsidRDefault="00757E4C" w:rsidP="00757E4C">
      <w:r>
        <w:t xml:space="preserve">Person to person spread of brucellosis is extremely rare. Outside of foodborne consumption, the most common exposures occur in laboratory settings. It is critical to inform the laboratory when brucellosis is suspected so that laboratory personnel can use appropriate lab practices. </w:t>
      </w:r>
    </w:p>
    <w:p w14:paraId="5C1CA6BD" w14:textId="77777777" w:rsidR="00CA1019" w:rsidRDefault="00CA1019" w:rsidP="00CA1019">
      <w:pPr>
        <w:pStyle w:val="Heading2"/>
        <w:rPr>
          <w:rFonts w:eastAsia="Times New Roman"/>
        </w:rPr>
      </w:pPr>
      <w:r>
        <w:rPr>
          <w:rFonts w:eastAsia="Times New Roman"/>
        </w:rPr>
        <w:t>Recommendations</w:t>
      </w:r>
    </w:p>
    <w:p w14:paraId="4F0F69B1" w14:textId="77777777" w:rsidR="00713171" w:rsidRDefault="00713171" w:rsidP="00713171">
      <w:pPr>
        <w:numPr>
          <w:ilvl w:val="0"/>
          <w:numId w:val="33"/>
        </w:numPr>
        <w:spacing w:before="100" w:beforeAutospacing="1" w:after="100" w:afterAutospacing="1"/>
        <w:rPr>
          <w:rFonts w:eastAsia="Times New Roman"/>
          <w:sz w:val="22"/>
          <w:szCs w:val="22"/>
        </w:rPr>
      </w:pPr>
      <w:r>
        <w:rPr>
          <w:rFonts w:eastAsia="Times New Roman"/>
        </w:rPr>
        <w:t>Consider brucellosis in patients with a compatible illness and consumption of soft cheese, even if they do not know it is from Mexico. Cases may be unaware of the cheese source.</w:t>
      </w:r>
    </w:p>
    <w:p w14:paraId="1D5689DD" w14:textId="77777777" w:rsidR="00713171" w:rsidRDefault="00713171" w:rsidP="00713171">
      <w:pPr>
        <w:numPr>
          <w:ilvl w:val="0"/>
          <w:numId w:val="33"/>
        </w:numPr>
        <w:spacing w:before="100" w:beforeAutospacing="1" w:after="100" w:afterAutospacing="1"/>
        <w:rPr>
          <w:rFonts w:eastAsia="Times New Roman"/>
        </w:rPr>
      </w:pPr>
      <w:r>
        <w:rPr>
          <w:rFonts w:eastAsia="Times New Roman"/>
        </w:rPr>
        <w:t>Call MDH to inquire whether asymptomatic patients who consumed the cheese should be prescribed 3 weeks of prophylactic antibiotics. MDH is attempting to contact people who may have been exposed, but may be unable to contact everyone.</w:t>
      </w:r>
    </w:p>
    <w:p w14:paraId="1BF39F9B" w14:textId="77777777" w:rsidR="00713171" w:rsidRDefault="00713171" w:rsidP="00713171">
      <w:pPr>
        <w:numPr>
          <w:ilvl w:val="0"/>
          <w:numId w:val="33"/>
        </w:numPr>
        <w:spacing w:before="100" w:beforeAutospacing="1" w:after="100" w:afterAutospacing="1"/>
        <w:rPr>
          <w:rFonts w:eastAsia="Times New Roman"/>
        </w:rPr>
      </w:pPr>
      <w:r>
        <w:rPr>
          <w:rFonts w:eastAsia="Times New Roman"/>
        </w:rPr>
        <w:t xml:space="preserve">If brucellosis is suspected, culture blood, or other relevant specimens. Brucella is most commonly diagnosed from the blood. A confirmed culture of </w:t>
      </w:r>
      <w:r>
        <w:rPr>
          <w:rFonts w:eastAsia="Times New Roman"/>
          <w:i/>
          <w:iCs/>
        </w:rPr>
        <w:t xml:space="preserve">B. </w:t>
      </w:r>
      <w:proofErr w:type="spellStart"/>
      <w:r>
        <w:rPr>
          <w:rFonts w:eastAsia="Times New Roman"/>
          <w:i/>
          <w:iCs/>
        </w:rPr>
        <w:t>melitensis</w:t>
      </w:r>
      <w:proofErr w:type="spellEnd"/>
      <w:r>
        <w:rPr>
          <w:rFonts w:eastAsia="Times New Roman"/>
          <w:i/>
          <w:iCs/>
        </w:rPr>
        <w:t xml:space="preserve"> </w:t>
      </w:r>
      <w:r>
        <w:rPr>
          <w:rFonts w:eastAsia="Times New Roman"/>
        </w:rPr>
        <w:t xml:space="preserve">from any clinical specimen is considered diagnostic for brucellosis. </w:t>
      </w:r>
    </w:p>
    <w:p w14:paraId="6C3EB940" w14:textId="77777777" w:rsidR="00713171" w:rsidRDefault="00713171" w:rsidP="00713171">
      <w:pPr>
        <w:numPr>
          <w:ilvl w:val="0"/>
          <w:numId w:val="33"/>
        </w:numPr>
        <w:spacing w:before="100" w:beforeAutospacing="1" w:after="100" w:afterAutospacing="1"/>
        <w:rPr>
          <w:rFonts w:eastAsia="Times New Roman"/>
        </w:rPr>
      </w:pPr>
      <w:r>
        <w:rPr>
          <w:rFonts w:eastAsia="Times New Roman"/>
        </w:rPr>
        <w:t xml:space="preserve">When ordering specimen cultures to diagnose brucellosis, advise the laboratory that cultures may grow </w:t>
      </w:r>
      <w:r>
        <w:rPr>
          <w:rFonts w:eastAsia="Times New Roman"/>
          <w:i/>
          <w:iCs/>
        </w:rPr>
        <w:t xml:space="preserve">Brucella, </w:t>
      </w:r>
      <w:r>
        <w:rPr>
          <w:rFonts w:eastAsia="Times New Roman"/>
        </w:rPr>
        <w:t>and the laboratory personnel should observe appropriate laboratory safety precautions. Brucella is easily laboratory-acquired.</w:t>
      </w:r>
    </w:p>
    <w:p w14:paraId="3D55B214" w14:textId="77777777" w:rsidR="00713171" w:rsidRDefault="00713171" w:rsidP="00713171">
      <w:pPr>
        <w:numPr>
          <w:ilvl w:val="0"/>
          <w:numId w:val="33"/>
        </w:numPr>
        <w:spacing w:before="100" w:beforeAutospacing="1" w:after="100" w:afterAutospacing="1"/>
        <w:rPr>
          <w:rFonts w:eastAsia="Times New Roman"/>
        </w:rPr>
      </w:pPr>
      <w:r>
        <w:rPr>
          <w:rFonts w:eastAsia="Times New Roman"/>
        </w:rPr>
        <w:t>Treatment of brucellosis consists of doxycycline and rifampin for at least 6 weeks. Other antibiotics may be considered in patients with contraindications to these antibiotics.</w:t>
      </w:r>
    </w:p>
    <w:p w14:paraId="5CB308DF" w14:textId="1B9D7D6A" w:rsidR="00757E4C" w:rsidRDefault="00713171" w:rsidP="00713171">
      <w:pPr>
        <w:numPr>
          <w:ilvl w:val="0"/>
          <w:numId w:val="33"/>
        </w:numPr>
        <w:spacing w:before="100" w:beforeAutospacing="1" w:after="100" w:afterAutospacing="1"/>
        <w:rPr>
          <w:rFonts w:eastAsia="Times New Roman"/>
        </w:rPr>
      </w:pPr>
      <w:r>
        <w:rPr>
          <w:rFonts w:eastAsia="Times New Roman"/>
        </w:rPr>
        <w:t xml:space="preserve">If </w:t>
      </w:r>
      <w:r>
        <w:rPr>
          <w:rFonts w:eastAsia="Times New Roman"/>
          <w:i/>
          <w:iCs/>
        </w:rPr>
        <w:t xml:space="preserve">B. </w:t>
      </w:r>
      <w:proofErr w:type="spellStart"/>
      <w:r>
        <w:rPr>
          <w:rFonts w:eastAsia="Times New Roman"/>
          <w:i/>
          <w:iCs/>
        </w:rPr>
        <w:t>melitensis</w:t>
      </w:r>
      <w:proofErr w:type="spellEnd"/>
      <w:r>
        <w:rPr>
          <w:rFonts w:eastAsia="Times New Roman"/>
          <w:i/>
          <w:iCs/>
        </w:rPr>
        <w:t xml:space="preserve"> </w:t>
      </w:r>
      <w:r>
        <w:rPr>
          <w:rFonts w:eastAsia="Times New Roman"/>
        </w:rPr>
        <w:t xml:space="preserve">is identified or an organism is suspicious for </w:t>
      </w:r>
      <w:r>
        <w:rPr>
          <w:rFonts w:eastAsia="Times New Roman"/>
          <w:i/>
          <w:iCs/>
        </w:rPr>
        <w:t xml:space="preserve">B. </w:t>
      </w:r>
      <w:proofErr w:type="spellStart"/>
      <w:r>
        <w:rPr>
          <w:rFonts w:eastAsia="Times New Roman"/>
          <w:i/>
          <w:iCs/>
        </w:rPr>
        <w:t>melitensis</w:t>
      </w:r>
      <w:proofErr w:type="spellEnd"/>
      <w:r>
        <w:rPr>
          <w:rFonts w:eastAsia="Times New Roman"/>
          <w:i/>
          <w:iCs/>
        </w:rPr>
        <w:t xml:space="preserve"> </w:t>
      </w:r>
      <w:r>
        <w:rPr>
          <w:rFonts w:eastAsia="Times New Roman"/>
        </w:rPr>
        <w:t>contact MDH by phone within 24 hours (651-201-5414 or 877-676-5414). If your laboratory has a possible isolate of Brucella, or questions about an isolate, call the MDH-PHL on-call Emergency Preparedness phone: 612-282-3723</w:t>
      </w:r>
      <w:r w:rsidR="00757E4C">
        <w:rPr>
          <w:rFonts w:eastAsia="Times New Roman"/>
        </w:rPr>
        <w:t>.</w:t>
      </w:r>
    </w:p>
    <w:p w14:paraId="101D0541" w14:textId="1C101209" w:rsidR="00704A3C" w:rsidRDefault="00704A3C" w:rsidP="00704A3C">
      <w:pPr>
        <w:pStyle w:val="Heading2"/>
        <w:rPr>
          <w:rFonts w:eastAsia="Times New Roman"/>
        </w:rPr>
      </w:pPr>
      <w:r>
        <w:rPr>
          <w:rFonts w:eastAsia="Times New Roman"/>
        </w:rPr>
        <w:t>For More Information</w:t>
      </w:r>
    </w:p>
    <w:p w14:paraId="02A1E125" w14:textId="42D23C12" w:rsidR="00757E4C" w:rsidRPr="00757E4C" w:rsidRDefault="00757E4C" w:rsidP="00757E4C">
      <w:pPr>
        <w:numPr>
          <w:ilvl w:val="0"/>
          <w:numId w:val="30"/>
        </w:numPr>
        <w:spacing w:before="100" w:beforeAutospacing="1" w:after="100" w:afterAutospacing="1"/>
        <w:rPr>
          <w:rStyle w:val="Hyperlink"/>
          <w:rFonts w:eastAsia="Times New Roman"/>
          <w:sz w:val="22"/>
          <w:szCs w:val="22"/>
        </w:rPr>
      </w:pPr>
      <w:r>
        <w:rPr>
          <w:rFonts w:eastAsia="Times New Roman"/>
        </w:rPr>
        <w:fldChar w:fldCharType="begin"/>
      </w:r>
      <w:r>
        <w:rPr>
          <w:rFonts w:eastAsia="Times New Roman"/>
        </w:rPr>
        <w:instrText xml:space="preserve"> HYPERLINK "https://www.cdc.gov/brucellosis/index.html" </w:instrText>
      </w:r>
      <w:r>
        <w:rPr>
          <w:rFonts w:eastAsia="Times New Roman"/>
        </w:rPr>
        <w:fldChar w:fldCharType="separate"/>
      </w:r>
      <w:r w:rsidRPr="00757E4C">
        <w:rPr>
          <w:rStyle w:val="Hyperlink"/>
          <w:rFonts w:eastAsia="Times New Roman"/>
        </w:rPr>
        <w:t>CDC: Brucellosis (https://www.cdc.gov/brucellosis/index.html)</w:t>
      </w:r>
    </w:p>
    <w:p w14:paraId="3C3BF7F6" w14:textId="77777777" w:rsidR="00713171" w:rsidRDefault="00757E4C" w:rsidP="00757E4C">
      <w:pPr>
        <w:numPr>
          <w:ilvl w:val="0"/>
          <w:numId w:val="30"/>
        </w:numPr>
        <w:spacing w:before="100" w:beforeAutospacing="1" w:after="100" w:afterAutospacing="1"/>
        <w:rPr>
          <w:rStyle w:val="Hyperlink"/>
          <w:rFonts w:eastAsia="Times New Roman"/>
        </w:rPr>
      </w:pPr>
      <w:r>
        <w:rPr>
          <w:rFonts w:eastAsia="Times New Roman"/>
        </w:rPr>
        <w:fldChar w:fldCharType="end"/>
      </w:r>
      <w:hyperlink r:id="rId14" w:history="1">
        <w:r>
          <w:rPr>
            <w:rStyle w:val="Hyperlink"/>
            <w:rFonts w:eastAsia="Times New Roman"/>
          </w:rPr>
          <w:t>MDH Brucellosis (https://www.health.state.mn.us/diseases/brucellosis/index.html)</w:t>
        </w:r>
      </w:hyperlink>
    </w:p>
    <w:p w14:paraId="6BA2F07B" w14:textId="4F084EB2" w:rsidR="00A82121" w:rsidRPr="00A82121" w:rsidRDefault="00713171" w:rsidP="00757E4C">
      <w:pPr>
        <w:numPr>
          <w:ilvl w:val="0"/>
          <w:numId w:val="30"/>
        </w:numPr>
        <w:spacing w:before="100" w:beforeAutospacing="1" w:after="100" w:afterAutospacing="1"/>
        <w:rPr>
          <w:rStyle w:val="Hyperlink"/>
          <w:rFonts w:eastAsia="Times New Roman"/>
        </w:rPr>
      </w:pPr>
      <w:hyperlink r:id="rId15" w:history="1">
        <w:r>
          <w:rPr>
            <w:rStyle w:val="Hyperlink"/>
            <w:rFonts w:eastAsia="Times New Roman"/>
          </w:rPr>
          <w:t>Clinical Laboratory Preparedness and Response Guide, Association of Public Health Labs and American Society for Microbiology (https://www.aphl.org/aboutAPHL/publications/Documents/WORK_BlueBook.pdf)</w:t>
        </w:r>
      </w:hyperlink>
      <w:r>
        <w:rPr>
          <w:rFonts w:eastAsia="Times New Roman"/>
        </w:rPr>
        <w:t xml:space="preserve"> </w:t>
      </w:r>
      <w:r w:rsidR="00A82121">
        <w:rPr>
          <w:rFonts w:eastAsia="Times New Roman"/>
        </w:rPr>
        <w:fldChar w:fldCharType="begin"/>
      </w:r>
      <w:r w:rsidR="00A82121">
        <w:rPr>
          <w:rFonts w:eastAsia="Times New Roman"/>
        </w:rPr>
        <w:instrText xml:space="preserve"> HYPERLINK "https://www.health.state.mn.us/diseases/melioidosis/index.html" </w:instrText>
      </w:r>
      <w:r w:rsidR="00A82121">
        <w:rPr>
          <w:rFonts w:eastAsia="Times New Roman"/>
        </w:rPr>
        <w:fldChar w:fldCharType="separate"/>
      </w:r>
    </w:p>
    <w:p w14:paraId="3BF234B9" w14:textId="68B2B442" w:rsidR="002C256C" w:rsidRPr="00704A3C" w:rsidRDefault="00A82121" w:rsidP="00704A3C">
      <w:pPr>
        <w:pStyle w:val="NormalWeb"/>
      </w:pPr>
      <w:r>
        <w:rPr>
          <w:rFonts w:eastAsia="Times New Roman"/>
        </w:rPr>
        <w:fldChar w:fldCharType="end"/>
      </w:r>
      <w:r w:rsidR="00704A3C">
        <w:t xml:space="preserve">A copy of this HAN is available at: </w:t>
      </w:r>
      <w:hyperlink r:id="rId16" w:history="1">
        <w:r w:rsidR="00704A3C">
          <w:rPr>
            <w:rStyle w:val="Hyperlink"/>
          </w:rPr>
          <w:t>MDH Health Alert Network</w:t>
        </w:r>
      </w:hyperlink>
      <w:r w:rsidR="00704A3C">
        <w:t xml:space="preserve"> (</w:t>
      </w:r>
      <w:hyperlink r:id="rId17" w:history="1">
        <w:r w:rsidR="00704A3C">
          <w:rPr>
            <w:rStyle w:val="Hyperlink"/>
          </w:rPr>
          <w:t>http://www.health.state.mn.us/han</w:t>
        </w:r>
      </w:hyperlink>
      <w:r w:rsidR="00704A3C">
        <w:t>)</w:t>
      </w:r>
      <w:r w:rsidR="00704A3C">
        <w:br/>
        <w:t>The content of this message is intended for public health and health care personnel and response partners who have a need to know the information to perform their duties.</w:t>
      </w:r>
    </w:p>
    <w:sectPr w:rsidR="002C256C" w:rsidRPr="00704A3C"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F502265" w:rsidR="00782710" w:rsidRPr="002C256C" w:rsidRDefault="002C256C" w:rsidP="002C256C">
    <w:pPr>
      <w:pStyle w:val="Header"/>
    </w:pPr>
    <w:r w:rsidRPr="002C256C">
      <w:t xml:space="preserve">Health Advisory: </w:t>
    </w:r>
    <w:r w:rsidR="00757E4C" w:rsidRPr="00757E4C">
      <w:t>Brucellosis Outbreak Associated with Soft Cheese in Twin Cities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002E8C"/>
    <w:multiLevelType w:val="multilevel"/>
    <w:tmpl w:val="FDF2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D4990"/>
    <w:multiLevelType w:val="multilevel"/>
    <w:tmpl w:val="AC28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C13B7"/>
    <w:multiLevelType w:val="multilevel"/>
    <w:tmpl w:val="88B4C196"/>
    <w:numStyleLink w:val="Listbullets"/>
  </w:abstractNum>
  <w:abstractNum w:abstractNumId="10"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2147EF"/>
    <w:multiLevelType w:val="multilevel"/>
    <w:tmpl w:val="88B4C196"/>
    <w:numStyleLink w:val="Listbullets"/>
  </w:abstractNum>
  <w:abstractNum w:abstractNumId="13"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1BD24FD"/>
    <w:multiLevelType w:val="multilevel"/>
    <w:tmpl w:val="67CA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0C4423"/>
    <w:multiLevelType w:val="multilevel"/>
    <w:tmpl w:val="5282D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B91C24"/>
    <w:multiLevelType w:val="multilevel"/>
    <w:tmpl w:val="82F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6D037F"/>
    <w:multiLevelType w:val="multilevel"/>
    <w:tmpl w:val="B8DAF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A21602"/>
    <w:multiLevelType w:val="multilevel"/>
    <w:tmpl w:val="1AC0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5343C3"/>
    <w:multiLevelType w:val="multilevel"/>
    <w:tmpl w:val="801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35CF2"/>
    <w:multiLevelType w:val="multilevel"/>
    <w:tmpl w:val="F2B81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3" w15:restartNumberingAfterBreak="0">
    <w:nsid w:val="7C1B7085"/>
    <w:multiLevelType w:val="multilevel"/>
    <w:tmpl w:val="FC6E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E432B4"/>
    <w:multiLevelType w:val="multilevel"/>
    <w:tmpl w:val="E35C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32"/>
  </w:num>
  <w:num w:numId="5">
    <w:abstractNumId w:val="4"/>
  </w:num>
  <w:num w:numId="6">
    <w:abstractNumId w:val="2"/>
  </w:num>
  <w:num w:numId="7">
    <w:abstractNumId w:val="12"/>
  </w:num>
  <w:num w:numId="8">
    <w:abstractNumId w:val="9"/>
  </w:num>
  <w:num w:numId="9">
    <w:abstractNumId w:val="25"/>
  </w:num>
  <w:num w:numId="10">
    <w:abstractNumId w:val="19"/>
  </w:num>
  <w:num w:numId="11">
    <w:abstractNumId w:val="18"/>
  </w:num>
  <w:num w:numId="12">
    <w:abstractNumId w:val="3"/>
  </w:num>
  <w:num w:numId="13">
    <w:abstractNumId w:val="28"/>
  </w:num>
  <w:num w:numId="14">
    <w:abstractNumId w:val="2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17"/>
  </w:num>
  <w:num w:numId="19">
    <w:abstractNumId w:val="1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8"/>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9"/>
  </w:num>
  <w:num w:numId="27">
    <w:abstractNumId w:val="24"/>
  </w:num>
  <w:num w:numId="28">
    <w:abstractNumId w:val="34"/>
  </w:num>
  <w:num w:numId="29">
    <w:abstractNumId w:val="30"/>
  </w:num>
  <w:num w:numId="30">
    <w:abstractNumId w:val="7"/>
  </w:num>
  <w:num w:numId="31">
    <w:abstractNumId w:val="6"/>
  </w:num>
  <w:num w:numId="32">
    <w:abstractNumId w:val="33"/>
  </w:num>
  <w:num w:numId="33">
    <w:abstractNumId w:val="31"/>
  </w:num>
  <w:num w:numId="34">
    <w:abstractNumId w:val="27"/>
  </w:num>
  <w:num w:numId="35">
    <w:abstractNumId w:val="15"/>
    <w:lvlOverride w:ilvl="0"/>
    <w:lvlOverride w:ilvl="1"/>
    <w:lvlOverride w:ilvl="2"/>
    <w:lvlOverride w:ilvl="3"/>
    <w:lvlOverride w:ilvl="4"/>
    <w:lvlOverride w:ilvl="5"/>
    <w:lvlOverride w:ilvl="6"/>
    <w:lvlOverride w:ilvl="7"/>
    <w:lvlOverride w:ilvl="8"/>
  </w:num>
  <w:num w:numId="36">
    <w:abstractNumId w:val="2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brucellosis/repor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phl.org/aboutAPHL/publications/Documents/WORK_BlueBook.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brucellosis/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fc253db8-c1a2-4032-adc2-d3fbd160fc76"/>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8837c207-459e-4c9e-ae67-73e2034e87a2"/>
    <ds:schemaRef ds:uri="98f01fe9-c3f2-4582-9148-d87bd0c242e7"/>
    <ds:schemaRef ds:uri="http://www.w3.org/XML/1998/namespace"/>
  </ds:schemaRefs>
</ds:datastoreItem>
</file>

<file path=customXml/itemProps5.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9</TotalTime>
  <Pages>2</Pages>
  <Words>753</Words>
  <Characters>5233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Health Advisory: Brucellosis Outbreak Associated with Soft Cheese in Twin Cities</vt:lpstr>
    </vt:vector>
  </TitlesOfParts>
  <Company>State of Minnesota</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Brucellosis Outbreak Associated with Soft Cheese in Twin Cities</dc:title>
  <dc:subject/>
  <dc:creator>MN Dept of Health</dc:creator>
  <cp:keywords/>
  <dc:description/>
  <cp:lastModifiedBy>McAdams, Toby (MDH)</cp:lastModifiedBy>
  <cp:revision>5</cp:revision>
  <cp:lastPrinted>2016-12-14T18:03:00Z</cp:lastPrinted>
  <dcterms:created xsi:type="dcterms:W3CDTF">2021-07-01T14:32:00Z</dcterms:created>
  <dcterms:modified xsi:type="dcterms:W3CDTF">2021-07-01T16:58:00Z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