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136D3" w14:textId="77777777" w:rsidR="00B94C9F" w:rsidRDefault="00B94C9F" w:rsidP="00B94C9F">
      <w:pPr>
        <w:pStyle w:val="LOGO"/>
      </w:pPr>
      <w:r>
        <w:drawing>
          <wp:inline distT="0" distB="0" distL="0" distR="0" wp14:anchorId="27BFB98B" wp14:editId="013DC8F7">
            <wp:extent cx="2267712" cy="301752"/>
            <wp:effectExtent l="0" t="0" r="0" b="3175"/>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2">
                      <a:extLst>
                        <a:ext uri="{28A0092B-C50C-407E-A947-70E740481C1C}">
                          <a14:useLocalDpi xmlns:a14="http://schemas.microsoft.com/office/drawing/2010/main" val="0"/>
                        </a:ext>
                      </a:extLst>
                    </a:blip>
                    <a:stretch>
                      <a:fillRect/>
                    </a:stretch>
                  </pic:blipFill>
                  <pic:spPr>
                    <a:xfrm>
                      <a:off x="0" y="0"/>
                      <a:ext cx="2267712" cy="301752"/>
                    </a:xfrm>
                    <a:prstGeom prst="rect">
                      <a:avLst/>
                    </a:prstGeom>
                  </pic:spPr>
                </pic:pic>
              </a:graphicData>
            </a:graphic>
          </wp:inline>
        </w:drawing>
      </w:r>
    </w:p>
    <w:p w14:paraId="36310C01" w14:textId="6115E8CE" w:rsidR="00B94C9F" w:rsidRPr="00205FA6" w:rsidRDefault="00205FA6" w:rsidP="00205FA6">
      <w:pPr>
        <w:pStyle w:val="Heading1"/>
        <w:spacing w:before="480" w:after="0"/>
        <w:rPr>
          <w:sz w:val="44"/>
          <w:szCs w:val="44"/>
        </w:rPr>
      </w:pPr>
      <w:bookmarkStart w:id="0" w:name="_Hlk67491853"/>
      <w:r w:rsidRPr="00205FA6">
        <w:rPr>
          <w:sz w:val="44"/>
          <w:szCs w:val="44"/>
        </w:rPr>
        <w:t>Health Advisory: Increasing Influenza Activity in College &amp; University Settings</w:t>
      </w:r>
    </w:p>
    <w:bookmarkEnd w:id="0"/>
    <w:p w14:paraId="305E66C1" w14:textId="1D750E31" w:rsidR="00056313" w:rsidRDefault="00205FA6" w:rsidP="00056313">
      <w:pPr>
        <w:pStyle w:val="NormalWeb"/>
        <w:rPr>
          <w:szCs w:val="22"/>
        </w:rPr>
      </w:pPr>
      <w:r w:rsidRPr="00205FA6">
        <w:t>Minnesota Department of Health, Tue, Nov 30 13:00 CST 2021</w:t>
      </w:r>
    </w:p>
    <w:p w14:paraId="3098D082" w14:textId="77777777" w:rsidR="00056313" w:rsidRDefault="00056313" w:rsidP="00205FA6">
      <w:pPr>
        <w:pStyle w:val="Heading2"/>
        <w:rPr>
          <w:rFonts w:eastAsia="Times New Roman"/>
        </w:rPr>
      </w:pPr>
      <w:r>
        <w:rPr>
          <w:rFonts w:eastAsia="Times New Roman"/>
        </w:rPr>
        <w:t>Action Steps</w:t>
      </w:r>
    </w:p>
    <w:p w14:paraId="7183CF42" w14:textId="59DFEBAD" w:rsidR="00056313" w:rsidRDefault="00205FA6" w:rsidP="00205FA6">
      <w:pPr>
        <w:pStyle w:val="NormalWeb"/>
        <w:spacing w:before="0" w:beforeAutospacing="0"/>
      </w:pPr>
      <w:r>
        <w:rPr>
          <w:rFonts w:hint="eastAsia"/>
          <w:b/>
          <w:bCs/>
          <w:i/>
          <w:iCs/>
        </w:rPr>
        <w:t>Local and tribal health department</w:t>
      </w:r>
      <w:r>
        <w:rPr>
          <w:rFonts w:hint="eastAsia"/>
        </w:rPr>
        <w:t xml:space="preserve">: Please forward to hospitals, clinics, urgent care centers, emergency departments, pharmacies, and convenience clinics in your jurisdiction. </w:t>
      </w:r>
      <w:r>
        <w:rPr>
          <w:rFonts w:hint="eastAsia"/>
        </w:rPr>
        <w:br/>
      </w:r>
      <w:r>
        <w:rPr>
          <w:rFonts w:hint="eastAsia"/>
          <w:b/>
          <w:bCs/>
          <w:i/>
          <w:iCs/>
        </w:rPr>
        <w:t xml:space="preserve">Hospitals, </w:t>
      </w:r>
      <w:proofErr w:type="gramStart"/>
      <w:r>
        <w:rPr>
          <w:rFonts w:hint="eastAsia"/>
          <w:b/>
          <w:bCs/>
          <w:i/>
          <w:iCs/>
        </w:rPr>
        <w:t>clinics</w:t>
      </w:r>
      <w:proofErr w:type="gramEnd"/>
      <w:r>
        <w:rPr>
          <w:rFonts w:hint="eastAsia"/>
          <w:b/>
          <w:bCs/>
          <w:i/>
          <w:iCs/>
        </w:rPr>
        <w:t xml:space="preserve"> and other facilities</w:t>
      </w:r>
      <w:r>
        <w:rPr>
          <w:rFonts w:hint="eastAsia"/>
        </w:rPr>
        <w:t>: Please forward to infection preventionists, infectious disease physicians, emergency department staff, hospitalists, and primary care clinicians.</w:t>
      </w:r>
      <w:r>
        <w:rPr>
          <w:rFonts w:hint="eastAsia"/>
        </w:rPr>
        <w:br/>
      </w:r>
      <w:r>
        <w:rPr>
          <w:rFonts w:hint="eastAsia"/>
          <w:b/>
          <w:bCs/>
          <w:i/>
          <w:iCs/>
        </w:rPr>
        <w:t>Health care providers</w:t>
      </w:r>
      <w:r>
        <w:rPr>
          <w:b/>
          <w:bCs/>
          <w:i/>
          <w:iCs/>
        </w:rPr>
        <w:t>:</w:t>
      </w:r>
      <w:r w:rsidR="00056313">
        <w:t xml:space="preserve"> </w:t>
      </w:r>
    </w:p>
    <w:p w14:paraId="524D6581" w14:textId="77777777" w:rsidR="00205FA6" w:rsidRDefault="00205FA6" w:rsidP="00205FA6">
      <w:pPr>
        <w:numPr>
          <w:ilvl w:val="0"/>
          <w:numId w:val="7"/>
        </w:numPr>
        <w:spacing w:before="100" w:beforeAutospacing="1" w:after="100" w:afterAutospacing="1"/>
        <w:rPr>
          <w:rFonts w:eastAsia="Gulim"/>
          <w:sz w:val="24"/>
        </w:rPr>
      </w:pPr>
      <w:r>
        <w:rPr>
          <w:rFonts w:hint="eastAsia"/>
        </w:rPr>
        <w:t xml:space="preserve">Offer current seasonal influenza vaccine to all eligible persons aged 6 months and older (Flu vaccine and COVID-19 vaccine can be given at the same visit for those eligible to receive both). </w:t>
      </w:r>
    </w:p>
    <w:p w14:paraId="7E3BED09" w14:textId="77777777" w:rsidR="00205FA6" w:rsidRDefault="00205FA6" w:rsidP="00205FA6">
      <w:pPr>
        <w:numPr>
          <w:ilvl w:val="0"/>
          <w:numId w:val="7"/>
        </w:numPr>
        <w:spacing w:before="100" w:beforeAutospacing="1" w:after="100" w:afterAutospacing="1"/>
      </w:pPr>
      <w:r>
        <w:rPr>
          <w:rFonts w:hint="eastAsia"/>
        </w:rPr>
        <w:t xml:space="preserve">Consider testing for both influenza virus and SARS-CoV-2 in patients with influenza-like illness (ILI). </w:t>
      </w:r>
    </w:p>
    <w:p w14:paraId="5C01770B" w14:textId="77777777" w:rsidR="00205FA6" w:rsidRDefault="00205FA6" w:rsidP="00205FA6">
      <w:pPr>
        <w:numPr>
          <w:ilvl w:val="0"/>
          <w:numId w:val="7"/>
        </w:numPr>
        <w:spacing w:before="100" w:beforeAutospacing="1" w:after="100" w:afterAutospacing="1"/>
      </w:pPr>
      <w:r>
        <w:rPr>
          <w:rFonts w:hint="eastAsia"/>
        </w:rPr>
        <w:t xml:space="preserve">Treat suspected or confirmed patients as early as possible with antivirals if the patient is hospitalized, at higher risk for influenza complications, or developing progressive illness. Starting antiviral treatment should not wait for laboratory confirmation, however COVID-19 should be excluded if a rapid assay is available. </w:t>
      </w:r>
    </w:p>
    <w:p w14:paraId="3F40B5BE" w14:textId="77777777" w:rsidR="00205FA6" w:rsidRDefault="00205FA6" w:rsidP="00205FA6">
      <w:pPr>
        <w:numPr>
          <w:ilvl w:val="0"/>
          <w:numId w:val="7"/>
        </w:numPr>
        <w:spacing w:before="100" w:beforeAutospacing="1" w:after="100" w:afterAutospacing="1"/>
      </w:pPr>
      <w:r>
        <w:rPr>
          <w:rFonts w:hint="eastAsia"/>
        </w:rPr>
        <w:t xml:space="preserve">Consider antiviral post-exposure prophylaxis during influenza outbreaks in institutions (e.g., long-term care facilities, university/college dormitories) where there is co-circulation of SARS-CoV-2. </w:t>
      </w:r>
    </w:p>
    <w:p w14:paraId="3088FE36" w14:textId="77777777" w:rsidR="00205FA6" w:rsidRDefault="00205FA6" w:rsidP="00205FA6">
      <w:pPr>
        <w:numPr>
          <w:ilvl w:val="0"/>
          <w:numId w:val="7"/>
        </w:numPr>
        <w:spacing w:before="100" w:beforeAutospacing="1" w:after="100" w:afterAutospacing="1"/>
      </w:pPr>
      <w:r>
        <w:rPr>
          <w:rFonts w:hint="eastAsia"/>
        </w:rPr>
        <w:t>Report hospitalizations or deaths associated with influenza to MDH within one working day (</w:t>
      </w:r>
      <w:hyperlink r:id="rId13" w:history="1">
        <w:r>
          <w:rPr>
            <w:rStyle w:val="Hyperlink"/>
            <w:rFonts w:hint="eastAsia"/>
          </w:rPr>
          <w:t>Reporting Influenza - https://www.health.state.mn.us/diseases/flu/hcp/report.html</w:t>
        </w:r>
      </w:hyperlink>
      <w:r>
        <w:rPr>
          <w:rFonts w:hint="eastAsia"/>
        </w:rPr>
        <w:t xml:space="preserve">). </w:t>
      </w:r>
    </w:p>
    <w:p w14:paraId="063DC218" w14:textId="55AC5232" w:rsidR="00056313" w:rsidRPr="00205FA6" w:rsidRDefault="00205FA6" w:rsidP="00205FA6">
      <w:pPr>
        <w:numPr>
          <w:ilvl w:val="0"/>
          <w:numId w:val="7"/>
        </w:numPr>
        <w:spacing w:before="100" w:beforeAutospacing="1" w:after="100" w:afterAutospacing="1"/>
      </w:pPr>
      <w:r>
        <w:rPr>
          <w:rFonts w:hint="eastAsia"/>
        </w:rPr>
        <w:t xml:space="preserve">Refer to CDC Health Alert Network (HAN) Health Advisory, </w:t>
      </w:r>
      <w:hyperlink r:id="rId14" w:history="1">
        <w:r>
          <w:rPr>
            <w:rStyle w:val="Hyperlink"/>
            <w:rFonts w:hint="eastAsia"/>
          </w:rPr>
          <w:t>Increasing Seasonal Influenza A (H3N2) Activity, Especially Among Young Adults and in College and University Settings, During SARS-CoV-2 Co-Circulation</w:t>
        </w:r>
      </w:hyperlink>
      <w:r>
        <w:rPr>
          <w:rFonts w:hint="eastAsia"/>
        </w:rPr>
        <w:t xml:space="preserve"> (</w:t>
      </w:r>
      <w:hyperlink r:id="rId15" w:history="1">
        <w:r>
          <w:rPr>
            <w:rStyle w:val="Hyperlink"/>
            <w:rFonts w:hint="eastAsia"/>
          </w:rPr>
          <w:t>https://emergency.cdc.gov/han/2021/han00458.asp</w:t>
        </w:r>
      </w:hyperlink>
      <w:r>
        <w:rPr>
          <w:rFonts w:hint="eastAsia"/>
        </w:rPr>
        <w:t>), for more information.</w:t>
      </w:r>
    </w:p>
    <w:p w14:paraId="707DF9CE" w14:textId="77777777" w:rsidR="00205FA6" w:rsidRDefault="00205FA6" w:rsidP="00205FA6">
      <w:pPr>
        <w:pStyle w:val="Heading2"/>
        <w:rPr>
          <w:rFonts w:eastAsia="Gulim"/>
        </w:rPr>
      </w:pPr>
      <w:r>
        <w:rPr>
          <w:rFonts w:hint="eastAsia"/>
        </w:rPr>
        <w:t>Background</w:t>
      </w:r>
    </w:p>
    <w:p w14:paraId="2BE557C9" w14:textId="77777777" w:rsidR="00205FA6" w:rsidRDefault="00205FA6" w:rsidP="00205FA6">
      <w:pPr>
        <w:pStyle w:val="NormalWeb"/>
        <w:spacing w:before="0" w:beforeAutospacing="0"/>
      </w:pPr>
      <w:r>
        <w:rPr>
          <w:rFonts w:hint="eastAsia"/>
        </w:rPr>
        <w:t xml:space="preserve">On November 24, 2021, CDC issued a Health Advisory Notice about increasing seasonal influenza A(H3N2) activity in the United States, marking the beginning of the 2021-2022 influenza season. Many of these recent cases are among young adults and children, especially those attending colleges or universities. Minnesota has also seen increases in influenza activity in recent weeks, including reports of cases in young adults at institutions of higher education in Minnesota. As of November 29, 2021, the predominant influenza strain in the state has been influenza A(H3N2). While current influenza activity in Minnesota is low, upcoming holiday travel presents a potential for wider community spread. Influenza vaccination coverage in Minnesota is low, promoting influenza vaccination will help prevent further spread. </w:t>
      </w:r>
    </w:p>
    <w:p w14:paraId="18658EEB" w14:textId="77777777" w:rsidR="00205FA6" w:rsidRDefault="00205FA6" w:rsidP="00205FA6">
      <w:pPr>
        <w:pStyle w:val="Heading2"/>
      </w:pPr>
      <w:r>
        <w:rPr>
          <w:rFonts w:hint="eastAsia"/>
        </w:rPr>
        <w:t>Additional Information on Antivirals</w:t>
      </w:r>
    </w:p>
    <w:p w14:paraId="0B287922" w14:textId="77777777" w:rsidR="00205FA6" w:rsidRDefault="00205FA6" w:rsidP="00205FA6">
      <w:pPr>
        <w:pStyle w:val="NormalWeb"/>
        <w:spacing w:before="0" w:beforeAutospacing="0"/>
      </w:pPr>
      <w:r>
        <w:rPr>
          <w:rFonts w:hint="eastAsia"/>
          <w:b/>
          <w:bCs/>
        </w:rPr>
        <w:t>Antiviral treatment and prophylaxis</w:t>
      </w:r>
      <w:r>
        <w:rPr>
          <w:rFonts w:hint="eastAsia"/>
        </w:rPr>
        <w:br/>
        <w:t>There are two oral influenza antiviral medications approved by the U.S. Food and Drug Administration (FDA)</w:t>
      </w:r>
      <w:r>
        <w:rPr>
          <w:rFonts w:hint="eastAsia"/>
          <w:b/>
          <w:bCs/>
        </w:rPr>
        <w:t xml:space="preserve"> commonly available by prescription</w:t>
      </w:r>
      <w:r>
        <w:rPr>
          <w:rFonts w:hint="eastAsia"/>
        </w:rPr>
        <w:t xml:space="preserve"> to treat influenza virus infection that can also be used for post-exposure prophylaxis (PEP) following influenza exposure</w:t>
      </w:r>
      <w:r>
        <w:rPr>
          <w:rFonts w:hint="eastAsia"/>
          <w:i/>
          <w:iCs/>
        </w:rPr>
        <w:t>.</w:t>
      </w:r>
      <w:r>
        <w:rPr>
          <w:rFonts w:hint="eastAsia"/>
        </w:rPr>
        <w:t xml:space="preserve"> These include</w:t>
      </w:r>
      <w:r>
        <w:rPr>
          <w:rFonts w:hint="eastAsia"/>
          <w:i/>
          <w:iCs/>
        </w:rPr>
        <w:t xml:space="preserve"> oseltamivir</w:t>
      </w:r>
      <w:r>
        <w:rPr>
          <w:rFonts w:hint="eastAsia"/>
        </w:rPr>
        <w:t xml:space="preserve"> (trade name </w:t>
      </w:r>
      <w:r>
        <w:rPr>
          <w:rFonts w:hint="eastAsia"/>
        </w:rPr>
        <w:lastRenderedPageBreak/>
        <w:t xml:space="preserve">Tamiflu®), and </w:t>
      </w:r>
      <w:proofErr w:type="spellStart"/>
      <w:r>
        <w:rPr>
          <w:rFonts w:hint="eastAsia"/>
          <w:i/>
          <w:iCs/>
        </w:rPr>
        <w:t>baloxavir</w:t>
      </w:r>
      <w:proofErr w:type="spellEnd"/>
      <w:r>
        <w:rPr>
          <w:rFonts w:hint="eastAsia"/>
          <w:i/>
          <w:iCs/>
        </w:rPr>
        <w:t xml:space="preserve"> </w:t>
      </w:r>
      <w:proofErr w:type="spellStart"/>
      <w:r>
        <w:rPr>
          <w:rFonts w:hint="eastAsia"/>
          <w:i/>
          <w:iCs/>
        </w:rPr>
        <w:t>marboxil</w:t>
      </w:r>
      <w:proofErr w:type="spellEnd"/>
      <w:r>
        <w:rPr>
          <w:rFonts w:hint="eastAsia"/>
        </w:rPr>
        <w:t xml:space="preserve"> (trade name </w:t>
      </w:r>
      <w:proofErr w:type="spellStart"/>
      <w:r>
        <w:rPr>
          <w:rFonts w:hint="eastAsia"/>
        </w:rPr>
        <w:t>Xofluza</w:t>
      </w:r>
      <w:proofErr w:type="spellEnd"/>
      <w:r>
        <w:rPr>
          <w:rFonts w:hint="eastAsia"/>
        </w:rPr>
        <w:t>®) (Table 1).</w:t>
      </w:r>
      <w:r>
        <w:rPr>
          <w:rFonts w:hint="eastAsia"/>
          <w:i/>
          <w:iCs/>
        </w:rPr>
        <w:t xml:space="preserve"> Inhaled zanamivir and intravenous peramivir</w:t>
      </w:r>
      <w:r>
        <w:rPr>
          <w:rFonts w:hint="eastAsia"/>
          <w:b/>
          <w:bCs/>
        </w:rPr>
        <w:t xml:space="preserve"> antiviral medications are used less frequently</w:t>
      </w:r>
      <w:r>
        <w:rPr>
          <w:rFonts w:hint="eastAsia"/>
        </w:rPr>
        <w:t xml:space="preserve">. </w:t>
      </w:r>
    </w:p>
    <w:p w14:paraId="2ABBC3D3" w14:textId="77777777" w:rsidR="00205FA6" w:rsidRDefault="00205FA6" w:rsidP="00205FA6">
      <w:pPr>
        <w:pStyle w:val="NormalWeb"/>
      </w:pPr>
      <w:r>
        <w:rPr>
          <w:rFonts w:hint="eastAsia"/>
          <w:b/>
          <w:bCs/>
        </w:rPr>
        <w:t>Table 1: Summary of most common antiviral medications for treatment and post-exposure prophylaxis of influenza</w:t>
      </w: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337"/>
        <w:gridCol w:w="3325"/>
        <w:gridCol w:w="3682"/>
      </w:tblGrid>
      <w:tr w:rsidR="00205FA6" w14:paraId="7BD3BCEB" w14:textId="77777777" w:rsidTr="006F7B36">
        <w:trPr>
          <w:tblHeader/>
          <w:tblCellSpacing w:w="0" w:type="dxa"/>
        </w:trPr>
        <w:tc>
          <w:tcPr>
            <w:tcW w:w="2340" w:type="dxa"/>
            <w:tcBorders>
              <w:top w:val="outset" w:sz="6" w:space="0" w:color="auto"/>
              <w:left w:val="outset" w:sz="6" w:space="0" w:color="auto"/>
              <w:bottom w:val="outset" w:sz="6" w:space="0" w:color="auto"/>
              <w:right w:val="outset" w:sz="6" w:space="0" w:color="auto"/>
            </w:tcBorders>
            <w:hideMark/>
          </w:tcPr>
          <w:p w14:paraId="00545185" w14:textId="77777777" w:rsidR="00205FA6" w:rsidRDefault="00205FA6"/>
        </w:tc>
        <w:tc>
          <w:tcPr>
            <w:tcW w:w="3330" w:type="dxa"/>
            <w:tcBorders>
              <w:top w:val="outset" w:sz="6" w:space="0" w:color="auto"/>
              <w:left w:val="outset" w:sz="6" w:space="0" w:color="auto"/>
              <w:bottom w:val="outset" w:sz="6" w:space="0" w:color="auto"/>
              <w:right w:val="outset" w:sz="6" w:space="0" w:color="auto"/>
            </w:tcBorders>
            <w:hideMark/>
          </w:tcPr>
          <w:p w14:paraId="3DC802F4" w14:textId="77777777" w:rsidR="00205FA6" w:rsidRDefault="00205FA6">
            <w:pPr>
              <w:pStyle w:val="NormalWeb"/>
              <w:rPr>
                <w:rFonts w:ascii="Gulim" w:eastAsia="Gulim" w:hAnsi="Gulim" w:cs="Gulim"/>
                <w:sz w:val="24"/>
                <w:lang w:eastAsia="ko-KR"/>
              </w:rPr>
            </w:pPr>
            <w:r>
              <w:rPr>
                <w:rFonts w:hint="eastAsia"/>
                <w:b/>
                <w:bCs/>
              </w:rPr>
              <w:t>Oseltamivir (Tamiflu®)</w:t>
            </w:r>
          </w:p>
        </w:tc>
        <w:tc>
          <w:tcPr>
            <w:tcW w:w="3690" w:type="dxa"/>
            <w:tcBorders>
              <w:top w:val="outset" w:sz="6" w:space="0" w:color="auto"/>
              <w:left w:val="outset" w:sz="6" w:space="0" w:color="auto"/>
              <w:bottom w:val="outset" w:sz="6" w:space="0" w:color="auto"/>
              <w:right w:val="outset" w:sz="6" w:space="0" w:color="auto"/>
            </w:tcBorders>
            <w:hideMark/>
          </w:tcPr>
          <w:p w14:paraId="3D2627DA" w14:textId="77777777" w:rsidR="00205FA6" w:rsidRDefault="00205FA6">
            <w:pPr>
              <w:pStyle w:val="NormalWeb"/>
            </w:pPr>
            <w:proofErr w:type="spellStart"/>
            <w:r>
              <w:rPr>
                <w:rFonts w:hint="eastAsia"/>
                <w:b/>
                <w:bCs/>
              </w:rPr>
              <w:t>Baloxavir</w:t>
            </w:r>
            <w:proofErr w:type="spellEnd"/>
            <w:r>
              <w:rPr>
                <w:rFonts w:hint="eastAsia"/>
                <w:b/>
                <w:bCs/>
              </w:rPr>
              <w:t xml:space="preserve"> (</w:t>
            </w:r>
            <w:proofErr w:type="spellStart"/>
            <w:r>
              <w:rPr>
                <w:rFonts w:hint="eastAsia"/>
                <w:b/>
                <w:bCs/>
              </w:rPr>
              <w:t>Xofluza</w:t>
            </w:r>
            <w:proofErr w:type="spellEnd"/>
            <w:r>
              <w:rPr>
                <w:rFonts w:hint="eastAsia"/>
                <w:b/>
                <w:bCs/>
              </w:rPr>
              <w:t>®)</w:t>
            </w:r>
          </w:p>
        </w:tc>
      </w:tr>
      <w:tr w:rsidR="00205FA6" w14:paraId="12382C72" w14:textId="77777777" w:rsidTr="00205FA6">
        <w:trPr>
          <w:tblCellSpacing w:w="0" w:type="dxa"/>
        </w:trPr>
        <w:tc>
          <w:tcPr>
            <w:tcW w:w="2340" w:type="dxa"/>
            <w:tcBorders>
              <w:top w:val="outset" w:sz="6" w:space="0" w:color="auto"/>
              <w:left w:val="outset" w:sz="6" w:space="0" w:color="auto"/>
              <w:bottom w:val="outset" w:sz="6" w:space="0" w:color="auto"/>
              <w:right w:val="outset" w:sz="6" w:space="0" w:color="auto"/>
            </w:tcBorders>
            <w:hideMark/>
          </w:tcPr>
          <w:p w14:paraId="050384B4" w14:textId="77777777" w:rsidR="00205FA6" w:rsidRDefault="00205FA6">
            <w:pPr>
              <w:pStyle w:val="NormalWeb"/>
            </w:pPr>
            <w:r>
              <w:rPr>
                <w:rFonts w:hint="eastAsia"/>
              </w:rPr>
              <w:t>Approved by FDA</w:t>
            </w:r>
          </w:p>
        </w:tc>
        <w:tc>
          <w:tcPr>
            <w:tcW w:w="3330" w:type="dxa"/>
            <w:tcBorders>
              <w:top w:val="outset" w:sz="6" w:space="0" w:color="auto"/>
              <w:left w:val="outset" w:sz="6" w:space="0" w:color="auto"/>
              <w:bottom w:val="outset" w:sz="6" w:space="0" w:color="auto"/>
              <w:right w:val="outset" w:sz="6" w:space="0" w:color="auto"/>
            </w:tcBorders>
            <w:hideMark/>
          </w:tcPr>
          <w:p w14:paraId="73068E48" w14:textId="77777777" w:rsidR="00205FA6" w:rsidRDefault="00205FA6">
            <w:pPr>
              <w:pStyle w:val="NormalWeb"/>
            </w:pPr>
            <w:r>
              <w:rPr>
                <w:rFonts w:hint="eastAsia"/>
              </w:rPr>
              <w:t>1999</w:t>
            </w:r>
          </w:p>
        </w:tc>
        <w:tc>
          <w:tcPr>
            <w:tcW w:w="3690" w:type="dxa"/>
            <w:tcBorders>
              <w:top w:val="outset" w:sz="6" w:space="0" w:color="auto"/>
              <w:left w:val="outset" w:sz="6" w:space="0" w:color="auto"/>
              <w:bottom w:val="outset" w:sz="6" w:space="0" w:color="auto"/>
              <w:right w:val="outset" w:sz="6" w:space="0" w:color="auto"/>
            </w:tcBorders>
            <w:hideMark/>
          </w:tcPr>
          <w:p w14:paraId="5D8D5664" w14:textId="77777777" w:rsidR="00205FA6" w:rsidRDefault="00205FA6">
            <w:pPr>
              <w:pStyle w:val="NormalWeb"/>
            </w:pPr>
            <w:r>
              <w:rPr>
                <w:rFonts w:hint="eastAsia"/>
              </w:rPr>
              <w:t>2018</w:t>
            </w:r>
          </w:p>
        </w:tc>
      </w:tr>
      <w:tr w:rsidR="00205FA6" w14:paraId="16AAA65C" w14:textId="77777777" w:rsidTr="00205FA6">
        <w:trPr>
          <w:tblCellSpacing w:w="0" w:type="dxa"/>
        </w:trPr>
        <w:tc>
          <w:tcPr>
            <w:tcW w:w="2340" w:type="dxa"/>
            <w:tcBorders>
              <w:top w:val="outset" w:sz="6" w:space="0" w:color="auto"/>
              <w:left w:val="outset" w:sz="6" w:space="0" w:color="auto"/>
              <w:bottom w:val="outset" w:sz="6" w:space="0" w:color="auto"/>
              <w:right w:val="outset" w:sz="6" w:space="0" w:color="auto"/>
            </w:tcBorders>
            <w:hideMark/>
          </w:tcPr>
          <w:p w14:paraId="100DDD65" w14:textId="77777777" w:rsidR="00205FA6" w:rsidRDefault="00205FA6">
            <w:pPr>
              <w:pStyle w:val="NormalWeb"/>
            </w:pPr>
            <w:r>
              <w:rPr>
                <w:rFonts w:hint="eastAsia"/>
              </w:rPr>
              <w:t>Mechanism</w:t>
            </w:r>
          </w:p>
        </w:tc>
        <w:tc>
          <w:tcPr>
            <w:tcW w:w="3330" w:type="dxa"/>
            <w:tcBorders>
              <w:top w:val="outset" w:sz="6" w:space="0" w:color="auto"/>
              <w:left w:val="outset" w:sz="6" w:space="0" w:color="auto"/>
              <w:bottom w:val="outset" w:sz="6" w:space="0" w:color="auto"/>
              <w:right w:val="outset" w:sz="6" w:space="0" w:color="auto"/>
            </w:tcBorders>
            <w:hideMark/>
          </w:tcPr>
          <w:p w14:paraId="7EF32635" w14:textId="77777777" w:rsidR="00205FA6" w:rsidRDefault="00205FA6">
            <w:pPr>
              <w:pStyle w:val="NormalWeb"/>
            </w:pPr>
            <w:r>
              <w:rPr>
                <w:rFonts w:hint="eastAsia"/>
              </w:rPr>
              <w:t>Neuraminidase inhibitor</w:t>
            </w:r>
          </w:p>
        </w:tc>
        <w:tc>
          <w:tcPr>
            <w:tcW w:w="3690" w:type="dxa"/>
            <w:tcBorders>
              <w:top w:val="outset" w:sz="6" w:space="0" w:color="auto"/>
              <w:left w:val="outset" w:sz="6" w:space="0" w:color="auto"/>
              <w:bottom w:val="outset" w:sz="6" w:space="0" w:color="auto"/>
              <w:right w:val="outset" w:sz="6" w:space="0" w:color="auto"/>
            </w:tcBorders>
            <w:hideMark/>
          </w:tcPr>
          <w:p w14:paraId="510DBA23" w14:textId="77777777" w:rsidR="00205FA6" w:rsidRDefault="00205FA6">
            <w:pPr>
              <w:pStyle w:val="NormalWeb"/>
            </w:pPr>
            <w:r>
              <w:rPr>
                <w:rFonts w:hint="eastAsia"/>
              </w:rPr>
              <w:t xml:space="preserve">Cap-dependent endonuclease inhibitor </w:t>
            </w:r>
          </w:p>
        </w:tc>
      </w:tr>
      <w:tr w:rsidR="00205FA6" w14:paraId="41D991F7" w14:textId="77777777" w:rsidTr="00205FA6">
        <w:trPr>
          <w:tblCellSpacing w:w="0" w:type="dxa"/>
        </w:trPr>
        <w:tc>
          <w:tcPr>
            <w:tcW w:w="2340" w:type="dxa"/>
            <w:tcBorders>
              <w:top w:val="outset" w:sz="6" w:space="0" w:color="auto"/>
              <w:left w:val="outset" w:sz="6" w:space="0" w:color="auto"/>
              <w:bottom w:val="outset" w:sz="6" w:space="0" w:color="auto"/>
              <w:right w:val="outset" w:sz="6" w:space="0" w:color="auto"/>
            </w:tcBorders>
            <w:hideMark/>
          </w:tcPr>
          <w:p w14:paraId="2BBCE280" w14:textId="77777777" w:rsidR="00205FA6" w:rsidRDefault="00205FA6">
            <w:pPr>
              <w:pStyle w:val="NormalWeb"/>
            </w:pPr>
            <w:r>
              <w:rPr>
                <w:rFonts w:hint="eastAsia"/>
              </w:rPr>
              <w:t>Route of administration</w:t>
            </w:r>
          </w:p>
        </w:tc>
        <w:tc>
          <w:tcPr>
            <w:tcW w:w="3330" w:type="dxa"/>
            <w:tcBorders>
              <w:top w:val="outset" w:sz="6" w:space="0" w:color="auto"/>
              <w:left w:val="outset" w:sz="6" w:space="0" w:color="auto"/>
              <w:bottom w:val="outset" w:sz="6" w:space="0" w:color="auto"/>
              <w:right w:val="outset" w:sz="6" w:space="0" w:color="auto"/>
            </w:tcBorders>
            <w:hideMark/>
          </w:tcPr>
          <w:p w14:paraId="084A227E" w14:textId="77777777" w:rsidR="00205FA6" w:rsidRDefault="00205FA6">
            <w:pPr>
              <w:pStyle w:val="NormalWeb"/>
            </w:pPr>
            <w:r>
              <w:rPr>
                <w:rFonts w:hint="eastAsia"/>
                <w:b/>
                <w:bCs/>
              </w:rPr>
              <w:t>Oral</w:t>
            </w:r>
          </w:p>
        </w:tc>
        <w:tc>
          <w:tcPr>
            <w:tcW w:w="3690" w:type="dxa"/>
            <w:tcBorders>
              <w:top w:val="outset" w:sz="6" w:space="0" w:color="auto"/>
              <w:left w:val="outset" w:sz="6" w:space="0" w:color="auto"/>
              <w:bottom w:val="outset" w:sz="6" w:space="0" w:color="auto"/>
              <w:right w:val="outset" w:sz="6" w:space="0" w:color="auto"/>
            </w:tcBorders>
            <w:hideMark/>
          </w:tcPr>
          <w:p w14:paraId="1F19F505" w14:textId="77777777" w:rsidR="00205FA6" w:rsidRDefault="00205FA6">
            <w:pPr>
              <w:pStyle w:val="NormalWeb"/>
            </w:pPr>
            <w:r>
              <w:rPr>
                <w:rFonts w:hint="eastAsia"/>
                <w:b/>
                <w:bCs/>
              </w:rPr>
              <w:t>Oral</w:t>
            </w:r>
          </w:p>
        </w:tc>
      </w:tr>
      <w:tr w:rsidR="00205FA6" w14:paraId="07FEF7BD" w14:textId="77777777" w:rsidTr="00205FA6">
        <w:trPr>
          <w:tblCellSpacing w:w="0" w:type="dxa"/>
        </w:trPr>
        <w:tc>
          <w:tcPr>
            <w:tcW w:w="2340" w:type="dxa"/>
            <w:tcBorders>
              <w:top w:val="outset" w:sz="6" w:space="0" w:color="auto"/>
              <w:left w:val="outset" w:sz="6" w:space="0" w:color="auto"/>
              <w:bottom w:val="outset" w:sz="6" w:space="0" w:color="auto"/>
              <w:right w:val="outset" w:sz="6" w:space="0" w:color="auto"/>
            </w:tcBorders>
            <w:hideMark/>
          </w:tcPr>
          <w:p w14:paraId="52C17FB4" w14:textId="77777777" w:rsidR="00205FA6" w:rsidRDefault="00205FA6">
            <w:pPr>
              <w:pStyle w:val="NormalWeb"/>
            </w:pPr>
            <w:r>
              <w:rPr>
                <w:rFonts w:hint="eastAsia"/>
              </w:rPr>
              <w:t>Treatment dosing</w:t>
            </w:r>
          </w:p>
        </w:tc>
        <w:tc>
          <w:tcPr>
            <w:tcW w:w="3330" w:type="dxa"/>
            <w:tcBorders>
              <w:top w:val="outset" w:sz="6" w:space="0" w:color="auto"/>
              <w:left w:val="outset" w:sz="6" w:space="0" w:color="auto"/>
              <w:bottom w:val="outset" w:sz="6" w:space="0" w:color="auto"/>
              <w:right w:val="outset" w:sz="6" w:space="0" w:color="auto"/>
            </w:tcBorders>
            <w:hideMark/>
          </w:tcPr>
          <w:p w14:paraId="644D0776" w14:textId="77777777" w:rsidR="00205FA6" w:rsidRDefault="00205FA6">
            <w:pPr>
              <w:pStyle w:val="NormalWeb"/>
            </w:pPr>
            <w:r>
              <w:rPr>
                <w:rFonts w:hint="eastAsia"/>
                <w:b/>
                <w:bCs/>
              </w:rPr>
              <w:t>Daily dosing for 5 days</w:t>
            </w:r>
          </w:p>
          <w:p w14:paraId="7A24295B" w14:textId="77777777" w:rsidR="00205FA6" w:rsidRDefault="00205FA6" w:rsidP="00205FA6">
            <w:pPr>
              <w:numPr>
                <w:ilvl w:val="0"/>
                <w:numId w:val="15"/>
              </w:numPr>
              <w:spacing w:before="100" w:beforeAutospacing="1" w:after="100" w:afterAutospacing="1"/>
            </w:pPr>
            <w:r>
              <w:rPr>
                <w:rFonts w:hint="eastAsia"/>
              </w:rPr>
              <w:t xml:space="preserve">Adults: 75 mg </w:t>
            </w:r>
            <w:r>
              <w:rPr>
                <w:rFonts w:hint="eastAsia"/>
                <w:b/>
                <w:bCs/>
              </w:rPr>
              <w:t>twice daily</w:t>
            </w:r>
          </w:p>
          <w:p w14:paraId="5853930D" w14:textId="77777777" w:rsidR="00205FA6" w:rsidRDefault="00205FA6" w:rsidP="00205FA6">
            <w:pPr>
              <w:numPr>
                <w:ilvl w:val="0"/>
                <w:numId w:val="15"/>
              </w:numPr>
              <w:spacing w:before="100" w:beforeAutospacing="1" w:after="100" w:afterAutospacing="1"/>
            </w:pPr>
            <w:r>
              <w:rPr>
                <w:rFonts w:hint="eastAsia"/>
              </w:rPr>
              <w:t xml:space="preserve">Children: varies by age/weight9 </w:t>
            </w:r>
          </w:p>
        </w:tc>
        <w:tc>
          <w:tcPr>
            <w:tcW w:w="3690" w:type="dxa"/>
            <w:tcBorders>
              <w:top w:val="outset" w:sz="6" w:space="0" w:color="auto"/>
              <w:left w:val="outset" w:sz="6" w:space="0" w:color="auto"/>
              <w:bottom w:val="outset" w:sz="6" w:space="0" w:color="auto"/>
              <w:right w:val="outset" w:sz="6" w:space="0" w:color="auto"/>
            </w:tcBorders>
            <w:hideMark/>
          </w:tcPr>
          <w:p w14:paraId="193D3177" w14:textId="77777777" w:rsidR="00205FA6" w:rsidRDefault="00205FA6">
            <w:pPr>
              <w:pStyle w:val="NormalWeb"/>
            </w:pPr>
            <w:r>
              <w:rPr>
                <w:rFonts w:hint="eastAsia"/>
                <w:b/>
                <w:bCs/>
              </w:rPr>
              <w:t>Single dose only</w:t>
            </w:r>
          </w:p>
          <w:p w14:paraId="5B9F709B" w14:textId="77777777" w:rsidR="00205FA6" w:rsidRDefault="00205FA6" w:rsidP="00205FA6">
            <w:pPr>
              <w:numPr>
                <w:ilvl w:val="0"/>
                <w:numId w:val="16"/>
              </w:numPr>
              <w:spacing w:before="100" w:beforeAutospacing="1" w:after="100" w:afterAutospacing="1"/>
            </w:pPr>
            <w:r>
              <w:rPr>
                <w:rFonts w:hint="eastAsia"/>
              </w:rPr>
              <w:t xml:space="preserve">&lt;80 kg: 40 mg </w:t>
            </w:r>
          </w:p>
          <w:p w14:paraId="0EAFC400" w14:textId="77777777" w:rsidR="00205FA6" w:rsidRDefault="00205FA6" w:rsidP="00205FA6">
            <w:pPr>
              <w:numPr>
                <w:ilvl w:val="0"/>
                <w:numId w:val="16"/>
              </w:numPr>
              <w:spacing w:before="100" w:beforeAutospacing="1" w:after="100" w:afterAutospacing="1"/>
            </w:pPr>
            <w:r>
              <w:rPr>
                <w:rFonts w:hint="eastAsia"/>
              </w:rPr>
              <w:t>≥</w:t>
            </w:r>
            <w:r>
              <w:rPr>
                <w:rFonts w:hint="eastAsia"/>
              </w:rPr>
              <w:t xml:space="preserve">80 kg: 80 mg </w:t>
            </w:r>
          </w:p>
        </w:tc>
      </w:tr>
      <w:tr w:rsidR="00205FA6" w14:paraId="5D187C2B" w14:textId="77777777" w:rsidTr="00205FA6">
        <w:trPr>
          <w:tblCellSpacing w:w="0" w:type="dxa"/>
        </w:trPr>
        <w:tc>
          <w:tcPr>
            <w:tcW w:w="2340" w:type="dxa"/>
            <w:tcBorders>
              <w:top w:val="outset" w:sz="6" w:space="0" w:color="auto"/>
              <w:left w:val="outset" w:sz="6" w:space="0" w:color="auto"/>
              <w:bottom w:val="outset" w:sz="6" w:space="0" w:color="auto"/>
              <w:right w:val="outset" w:sz="6" w:space="0" w:color="auto"/>
            </w:tcBorders>
            <w:hideMark/>
          </w:tcPr>
          <w:p w14:paraId="5B72C8ED" w14:textId="77777777" w:rsidR="00205FA6" w:rsidRDefault="00205FA6">
            <w:pPr>
              <w:pStyle w:val="NormalWeb"/>
            </w:pPr>
            <w:r>
              <w:rPr>
                <w:rFonts w:hint="eastAsia"/>
              </w:rPr>
              <w:t>Post-exposure prophylaxis dosing</w:t>
            </w:r>
          </w:p>
        </w:tc>
        <w:tc>
          <w:tcPr>
            <w:tcW w:w="3330" w:type="dxa"/>
            <w:tcBorders>
              <w:top w:val="outset" w:sz="6" w:space="0" w:color="auto"/>
              <w:left w:val="outset" w:sz="6" w:space="0" w:color="auto"/>
              <w:bottom w:val="outset" w:sz="6" w:space="0" w:color="auto"/>
              <w:right w:val="outset" w:sz="6" w:space="0" w:color="auto"/>
            </w:tcBorders>
            <w:hideMark/>
          </w:tcPr>
          <w:p w14:paraId="5D931FEF" w14:textId="77777777" w:rsidR="00205FA6" w:rsidRDefault="00205FA6">
            <w:pPr>
              <w:pStyle w:val="NormalWeb"/>
            </w:pPr>
            <w:r>
              <w:rPr>
                <w:rFonts w:hint="eastAsia"/>
                <w:b/>
                <w:bCs/>
              </w:rPr>
              <w:t>Daily dosing for 7 days</w:t>
            </w:r>
          </w:p>
          <w:p w14:paraId="703D0CFB" w14:textId="77777777" w:rsidR="00205FA6" w:rsidRDefault="00205FA6" w:rsidP="00205FA6">
            <w:pPr>
              <w:numPr>
                <w:ilvl w:val="0"/>
                <w:numId w:val="17"/>
              </w:numPr>
              <w:spacing w:before="100" w:beforeAutospacing="1" w:after="100" w:afterAutospacing="1"/>
            </w:pPr>
            <w:r>
              <w:rPr>
                <w:rFonts w:hint="eastAsia"/>
              </w:rPr>
              <w:t xml:space="preserve">Adults: 75 mg </w:t>
            </w:r>
            <w:r>
              <w:rPr>
                <w:rFonts w:hint="eastAsia"/>
                <w:b/>
                <w:bCs/>
              </w:rPr>
              <w:t xml:space="preserve">once daily </w:t>
            </w:r>
          </w:p>
          <w:p w14:paraId="7127EE5E" w14:textId="77777777" w:rsidR="00205FA6" w:rsidRDefault="00205FA6" w:rsidP="00205FA6">
            <w:pPr>
              <w:numPr>
                <w:ilvl w:val="0"/>
                <w:numId w:val="17"/>
              </w:numPr>
              <w:spacing w:before="100" w:beforeAutospacing="1" w:after="100" w:afterAutospacing="1"/>
            </w:pPr>
            <w:r>
              <w:rPr>
                <w:rFonts w:hint="eastAsia"/>
              </w:rPr>
              <w:t xml:space="preserve">Children: varies by age/weight9 </w:t>
            </w:r>
          </w:p>
        </w:tc>
        <w:tc>
          <w:tcPr>
            <w:tcW w:w="3690" w:type="dxa"/>
            <w:tcBorders>
              <w:top w:val="outset" w:sz="6" w:space="0" w:color="auto"/>
              <w:left w:val="outset" w:sz="6" w:space="0" w:color="auto"/>
              <w:bottom w:val="outset" w:sz="6" w:space="0" w:color="auto"/>
              <w:right w:val="outset" w:sz="6" w:space="0" w:color="auto"/>
            </w:tcBorders>
            <w:hideMark/>
          </w:tcPr>
          <w:p w14:paraId="23F08FA6" w14:textId="77777777" w:rsidR="00205FA6" w:rsidRDefault="00205FA6">
            <w:pPr>
              <w:pStyle w:val="NormalWeb"/>
            </w:pPr>
            <w:r>
              <w:rPr>
                <w:rFonts w:hint="eastAsia"/>
                <w:b/>
                <w:bCs/>
              </w:rPr>
              <w:t>Single dose only</w:t>
            </w:r>
          </w:p>
          <w:p w14:paraId="5EC3A4C0" w14:textId="77777777" w:rsidR="00205FA6" w:rsidRDefault="00205FA6" w:rsidP="00205FA6">
            <w:pPr>
              <w:numPr>
                <w:ilvl w:val="0"/>
                <w:numId w:val="18"/>
              </w:numPr>
              <w:spacing w:before="100" w:beforeAutospacing="1" w:after="100" w:afterAutospacing="1"/>
            </w:pPr>
            <w:r>
              <w:rPr>
                <w:rFonts w:hint="eastAsia"/>
              </w:rPr>
              <w:t xml:space="preserve">&lt;80 kg: 40 mg </w:t>
            </w:r>
          </w:p>
          <w:p w14:paraId="1294449A" w14:textId="77777777" w:rsidR="00205FA6" w:rsidRDefault="00205FA6" w:rsidP="00205FA6">
            <w:pPr>
              <w:numPr>
                <w:ilvl w:val="0"/>
                <w:numId w:val="18"/>
              </w:numPr>
              <w:spacing w:before="100" w:beforeAutospacing="1" w:after="100" w:afterAutospacing="1"/>
            </w:pPr>
            <w:r>
              <w:rPr>
                <w:rFonts w:hint="eastAsia"/>
              </w:rPr>
              <w:t>≥</w:t>
            </w:r>
            <w:r>
              <w:rPr>
                <w:rFonts w:hint="eastAsia"/>
              </w:rPr>
              <w:t xml:space="preserve">80 kg: 80 mg </w:t>
            </w:r>
          </w:p>
        </w:tc>
      </w:tr>
      <w:tr w:rsidR="00205FA6" w14:paraId="00C1EF91" w14:textId="77777777" w:rsidTr="00205FA6">
        <w:trPr>
          <w:tblCellSpacing w:w="0" w:type="dxa"/>
        </w:trPr>
        <w:tc>
          <w:tcPr>
            <w:tcW w:w="2340" w:type="dxa"/>
            <w:tcBorders>
              <w:top w:val="outset" w:sz="6" w:space="0" w:color="auto"/>
              <w:left w:val="outset" w:sz="6" w:space="0" w:color="auto"/>
              <w:bottom w:val="outset" w:sz="6" w:space="0" w:color="auto"/>
              <w:right w:val="outset" w:sz="6" w:space="0" w:color="auto"/>
            </w:tcBorders>
            <w:hideMark/>
          </w:tcPr>
          <w:p w14:paraId="0F606E9E" w14:textId="77777777" w:rsidR="00205FA6" w:rsidRDefault="00205FA6">
            <w:pPr>
              <w:pStyle w:val="NormalWeb"/>
            </w:pPr>
            <w:r>
              <w:rPr>
                <w:rFonts w:hint="eastAsia"/>
              </w:rPr>
              <w:t>Age</w:t>
            </w:r>
          </w:p>
        </w:tc>
        <w:tc>
          <w:tcPr>
            <w:tcW w:w="3330" w:type="dxa"/>
            <w:tcBorders>
              <w:top w:val="outset" w:sz="6" w:space="0" w:color="auto"/>
              <w:left w:val="outset" w:sz="6" w:space="0" w:color="auto"/>
              <w:bottom w:val="outset" w:sz="6" w:space="0" w:color="auto"/>
              <w:right w:val="outset" w:sz="6" w:space="0" w:color="auto"/>
            </w:tcBorders>
            <w:hideMark/>
          </w:tcPr>
          <w:p w14:paraId="01805395" w14:textId="77777777" w:rsidR="00205FA6" w:rsidRDefault="00205FA6">
            <w:pPr>
              <w:pStyle w:val="NormalWeb"/>
            </w:pPr>
            <w:r>
              <w:rPr>
                <w:rFonts w:hint="eastAsia"/>
                <w:b/>
                <w:bCs/>
              </w:rPr>
              <w:t>Treatment</w:t>
            </w:r>
            <w:r>
              <w:rPr>
                <w:rFonts w:hint="eastAsia"/>
              </w:rPr>
              <w:t>: any age for treatment</w:t>
            </w:r>
            <w:r>
              <w:rPr>
                <w:rFonts w:hint="eastAsia"/>
              </w:rPr>
              <w:br/>
            </w:r>
            <w:r>
              <w:rPr>
                <w:rFonts w:hint="eastAsia"/>
                <w:b/>
                <w:bCs/>
              </w:rPr>
              <w:t>PEP</w:t>
            </w:r>
            <w:r>
              <w:rPr>
                <w:rFonts w:hint="eastAsia"/>
              </w:rPr>
              <w:t xml:space="preserve">: </w:t>
            </w:r>
            <w:r>
              <w:rPr>
                <w:rFonts w:hint="eastAsia"/>
              </w:rPr>
              <w:t>≥</w:t>
            </w:r>
            <w:r>
              <w:rPr>
                <w:rFonts w:hint="eastAsia"/>
              </w:rPr>
              <w:t xml:space="preserve">3 months </w:t>
            </w:r>
          </w:p>
        </w:tc>
        <w:tc>
          <w:tcPr>
            <w:tcW w:w="3690" w:type="dxa"/>
            <w:tcBorders>
              <w:top w:val="outset" w:sz="6" w:space="0" w:color="auto"/>
              <w:left w:val="outset" w:sz="6" w:space="0" w:color="auto"/>
              <w:bottom w:val="outset" w:sz="6" w:space="0" w:color="auto"/>
              <w:right w:val="outset" w:sz="6" w:space="0" w:color="auto"/>
            </w:tcBorders>
            <w:hideMark/>
          </w:tcPr>
          <w:p w14:paraId="331326BD" w14:textId="77777777" w:rsidR="00205FA6" w:rsidRDefault="00205FA6">
            <w:pPr>
              <w:pStyle w:val="NormalWeb"/>
            </w:pPr>
            <w:r>
              <w:rPr>
                <w:rFonts w:hint="eastAsia"/>
                <w:b/>
                <w:bCs/>
              </w:rPr>
              <w:t>Treatment or PEP</w:t>
            </w:r>
            <w:r>
              <w:rPr>
                <w:rFonts w:hint="eastAsia"/>
              </w:rPr>
              <w:t xml:space="preserve">: </w:t>
            </w:r>
            <w:r>
              <w:rPr>
                <w:rFonts w:hint="eastAsia"/>
              </w:rPr>
              <w:t>≥</w:t>
            </w:r>
            <w:r>
              <w:rPr>
                <w:rFonts w:hint="eastAsia"/>
              </w:rPr>
              <w:t>12 years</w:t>
            </w:r>
          </w:p>
        </w:tc>
      </w:tr>
      <w:tr w:rsidR="00205FA6" w14:paraId="4EBBD099" w14:textId="77777777" w:rsidTr="00205FA6">
        <w:trPr>
          <w:tblCellSpacing w:w="0" w:type="dxa"/>
        </w:trPr>
        <w:tc>
          <w:tcPr>
            <w:tcW w:w="2340" w:type="dxa"/>
            <w:tcBorders>
              <w:top w:val="outset" w:sz="6" w:space="0" w:color="auto"/>
              <w:left w:val="outset" w:sz="6" w:space="0" w:color="auto"/>
              <w:bottom w:val="outset" w:sz="6" w:space="0" w:color="auto"/>
              <w:right w:val="outset" w:sz="6" w:space="0" w:color="auto"/>
            </w:tcBorders>
            <w:hideMark/>
          </w:tcPr>
          <w:p w14:paraId="2B10308E" w14:textId="77777777" w:rsidR="00205FA6" w:rsidRDefault="00205FA6">
            <w:pPr>
              <w:pStyle w:val="NormalWeb"/>
            </w:pPr>
            <w:r>
              <w:rPr>
                <w:rFonts w:hint="eastAsia"/>
              </w:rPr>
              <w:t>Contraindications</w:t>
            </w:r>
          </w:p>
        </w:tc>
        <w:tc>
          <w:tcPr>
            <w:tcW w:w="3330" w:type="dxa"/>
            <w:tcBorders>
              <w:top w:val="outset" w:sz="6" w:space="0" w:color="auto"/>
              <w:left w:val="outset" w:sz="6" w:space="0" w:color="auto"/>
              <w:bottom w:val="outset" w:sz="6" w:space="0" w:color="auto"/>
              <w:right w:val="outset" w:sz="6" w:space="0" w:color="auto"/>
            </w:tcBorders>
            <w:hideMark/>
          </w:tcPr>
          <w:p w14:paraId="2723937D" w14:textId="77777777" w:rsidR="00205FA6" w:rsidRDefault="00205FA6">
            <w:pPr>
              <w:pStyle w:val="NormalWeb"/>
            </w:pPr>
            <w:r>
              <w:rPr>
                <w:rFonts w:hint="eastAsia"/>
              </w:rPr>
              <w:t>Known hypersensitivity</w:t>
            </w:r>
          </w:p>
        </w:tc>
        <w:tc>
          <w:tcPr>
            <w:tcW w:w="3690" w:type="dxa"/>
            <w:tcBorders>
              <w:top w:val="outset" w:sz="6" w:space="0" w:color="auto"/>
              <w:left w:val="outset" w:sz="6" w:space="0" w:color="auto"/>
              <w:bottom w:val="outset" w:sz="6" w:space="0" w:color="auto"/>
              <w:right w:val="outset" w:sz="6" w:space="0" w:color="auto"/>
            </w:tcBorders>
            <w:hideMark/>
          </w:tcPr>
          <w:p w14:paraId="1ADDEC38" w14:textId="77777777" w:rsidR="00205FA6" w:rsidRDefault="00205FA6">
            <w:pPr>
              <w:pStyle w:val="NormalWeb"/>
            </w:pPr>
            <w:r>
              <w:rPr>
                <w:rFonts w:hint="eastAsia"/>
              </w:rPr>
              <w:t>Known hypersensitivity</w:t>
            </w:r>
          </w:p>
        </w:tc>
      </w:tr>
    </w:tbl>
    <w:p w14:paraId="163E5686" w14:textId="77777777" w:rsidR="00205FA6" w:rsidRDefault="00205FA6" w:rsidP="00205FA6">
      <w:pPr>
        <w:pStyle w:val="NormalWeb"/>
        <w:rPr>
          <w:rFonts w:ascii="Gulim" w:eastAsia="Gulim" w:hAnsi="Gulim" w:cs="Gulim"/>
          <w:lang w:eastAsia="ko-KR"/>
        </w:rPr>
      </w:pPr>
      <w:r>
        <w:rPr>
          <w:rFonts w:hint="eastAsia"/>
          <w:b/>
          <w:bCs/>
        </w:rPr>
        <w:t>Use of influenza antivirals for post-exposure prophylaxis (PEP)</w:t>
      </w:r>
      <w:r>
        <w:rPr>
          <w:rFonts w:hint="eastAsia"/>
        </w:rPr>
        <w:br/>
        <w:t xml:space="preserve">Both oseltamivir and </w:t>
      </w:r>
      <w:proofErr w:type="spellStart"/>
      <w:r>
        <w:rPr>
          <w:rFonts w:hint="eastAsia"/>
        </w:rPr>
        <w:t>baloxavir</w:t>
      </w:r>
      <w:proofErr w:type="spellEnd"/>
      <w:r>
        <w:rPr>
          <w:rFonts w:hint="eastAsia"/>
        </w:rPr>
        <w:t xml:space="preserve"> are FDA-approved for influenza PEP. The efficacy of PEP is high for oseltamivir (68%-89%) and </w:t>
      </w:r>
      <w:proofErr w:type="spellStart"/>
      <w:r>
        <w:rPr>
          <w:rFonts w:hint="eastAsia"/>
        </w:rPr>
        <w:t>baloxavir</w:t>
      </w:r>
      <w:proofErr w:type="spellEnd"/>
      <w:r>
        <w:rPr>
          <w:rFonts w:hint="eastAsia"/>
        </w:rPr>
        <w:t xml:space="preserve"> (86%). Prior to the COVID-19 pandemic, CDC only recommended limited use of influenza antiviral medications for PEP. PEP has been recommended previously in closed settings such as long-term care facilities or crowded group settings. Given the unique considerations of influenza outbreaks in various settings in the context of co-circulation with SARS-CoV-2, influenza antiviral PEP might be considered for persons who:</w:t>
      </w:r>
    </w:p>
    <w:p w14:paraId="708A1D75" w14:textId="77777777" w:rsidR="00205FA6" w:rsidRDefault="00205FA6" w:rsidP="00205FA6">
      <w:pPr>
        <w:numPr>
          <w:ilvl w:val="0"/>
          <w:numId w:val="19"/>
        </w:numPr>
        <w:spacing w:before="100" w:beforeAutospacing="1" w:after="100" w:afterAutospacing="1"/>
      </w:pPr>
      <w:r>
        <w:rPr>
          <w:rFonts w:hint="eastAsia"/>
        </w:rPr>
        <w:t xml:space="preserve">Have had recent close contact with a person with influenza (e.g., roommates) </w:t>
      </w:r>
    </w:p>
    <w:p w14:paraId="7D98F5FB" w14:textId="77777777" w:rsidR="00205FA6" w:rsidRDefault="00205FA6" w:rsidP="00205FA6">
      <w:pPr>
        <w:numPr>
          <w:ilvl w:val="0"/>
          <w:numId w:val="19"/>
        </w:numPr>
        <w:spacing w:before="100" w:beforeAutospacing="1" w:after="100" w:afterAutospacing="1"/>
      </w:pPr>
      <w:r>
        <w:rPr>
          <w:rFonts w:hint="eastAsia"/>
        </w:rPr>
        <w:t xml:space="preserve">Live in confined quarters (e.g., dormitories, shelters, prisons) with increasing incidence of influenza </w:t>
      </w:r>
    </w:p>
    <w:p w14:paraId="70218E59" w14:textId="77777777" w:rsidR="00205FA6" w:rsidRDefault="00205FA6" w:rsidP="00205FA6">
      <w:pPr>
        <w:numPr>
          <w:ilvl w:val="0"/>
          <w:numId w:val="19"/>
        </w:numPr>
        <w:spacing w:before="100" w:beforeAutospacing="1" w:after="100" w:afterAutospacing="1"/>
      </w:pPr>
      <w:r>
        <w:rPr>
          <w:rFonts w:hint="eastAsia"/>
        </w:rPr>
        <w:t xml:space="preserve">Are at increased risk for severe illness from influenza </w:t>
      </w:r>
    </w:p>
    <w:p w14:paraId="525EE963" w14:textId="77777777" w:rsidR="00205FA6" w:rsidRDefault="00205FA6" w:rsidP="00205FA6">
      <w:pPr>
        <w:numPr>
          <w:ilvl w:val="0"/>
          <w:numId w:val="19"/>
        </w:numPr>
        <w:spacing w:before="100" w:beforeAutospacing="1" w:after="100" w:afterAutospacing="1"/>
      </w:pPr>
      <w:r>
        <w:rPr>
          <w:rFonts w:hint="eastAsia"/>
        </w:rPr>
        <w:t xml:space="preserve">Have had recent close contact with a person with influenza and will be traveling for the holidays </w:t>
      </w:r>
    </w:p>
    <w:p w14:paraId="1E2C5AF3" w14:textId="77777777" w:rsidR="00205FA6" w:rsidRDefault="00205FA6" w:rsidP="00205FA6">
      <w:pPr>
        <w:pStyle w:val="NormalWeb"/>
      </w:pPr>
      <w:r>
        <w:rPr>
          <w:rFonts w:hint="eastAsia"/>
          <w:b/>
          <w:bCs/>
        </w:rPr>
        <w:t>Influenza Vaccine</w:t>
      </w:r>
      <w:r>
        <w:rPr>
          <w:rFonts w:hint="eastAsia"/>
        </w:rPr>
        <w:br/>
        <w:t>Available seasonal influenza vaccines in the United States provide protection against four different influenza viruses: A(H1N</w:t>
      </w:r>
      <w:proofErr w:type="gramStart"/>
      <w:r>
        <w:rPr>
          <w:rFonts w:hint="eastAsia"/>
        </w:rPr>
        <w:t>1)pdm</w:t>
      </w:r>
      <w:proofErr w:type="gramEnd"/>
      <w:r>
        <w:rPr>
          <w:rFonts w:hint="eastAsia"/>
        </w:rPr>
        <w:t xml:space="preserve">09, A(H3N2), B/Victoria lineage, and B/Yamagata lineage viruses. In the </w:t>
      </w:r>
      <w:r>
        <w:rPr>
          <w:rFonts w:hint="eastAsia"/>
        </w:rPr>
        <w:lastRenderedPageBreak/>
        <w:t xml:space="preserve">past, influenza A(H3N2) virus-predominant seasons were associated with more hospitalizations and deaths in persons aged 65 years and older compared to other age groups and influenza viruses. </w:t>
      </w:r>
    </w:p>
    <w:p w14:paraId="26A9E9E8" w14:textId="77777777" w:rsidR="00205FA6" w:rsidRDefault="00205FA6" w:rsidP="00205FA6">
      <w:pPr>
        <w:pStyle w:val="NormalWeb"/>
      </w:pPr>
      <w:r>
        <w:rPr>
          <w:rFonts w:hint="eastAsia"/>
        </w:rPr>
        <w:t>CDC is anticipating an increase of influenza illness this winter, and both A(H3N2) and B-Victoria viruses are already co-circulating. Moreover, as SARS-CoV-2 continues to circulate in the United States, illnesses associated with both viruses might stress health care systems. Even when vaccination does not prevent infection it can reduce the severity of influenza illness, helping to avert serious outcomes including hospitalization and death.</w:t>
      </w:r>
    </w:p>
    <w:p w14:paraId="5F7F23A6" w14:textId="77777777" w:rsidR="00205FA6" w:rsidRDefault="00205FA6" w:rsidP="00205FA6">
      <w:pPr>
        <w:pStyle w:val="Heading2"/>
      </w:pPr>
      <w:r>
        <w:rPr>
          <w:rFonts w:hint="eastAsia"/>
        </w:rPr>
        <w:t xml:space="preserve">For More Information </w:t>
      </w:r>
    </w:p>
    <w:p w14:paraId="2B878441" w14:textId="77777777" w:rsidR="00205FA6" w:rsidRDefault="006F7B36" w:rsidP="00205FA6">
      <w:pPr>
        <w:numPr>
          <w:ilvl w:val="0"/>
          <w:numId w:val="20"/>
        </w:numPr>
        <w:spacing w:after="100" w:afterAutospacing="1"/>
      </w:pPr>
      <w:hyperlink r:id="rId16" w:history="1">
        <w:r w:rsidR="00205FA6">
          <w:rPr>
            <w:rStyle w:val="Hyperlink"/>
            <w:rFonts w:hint="eastAsia"/>
          </w:rPr>
          <w:t>MDH's Weekly Influenza &amp; Respiratory Activity Report (https://www.health.state.mn.us/diseases/flu/stats/index.html)</w:t>
        </w:r>
      </w:hyperlink>
      <w:r w:rsidR="00205FA6">
        <w:rPr>
          <w:rFonts w:hint="eastAsia"/>
        </w:rPr>
        <w:t xml:space="preserve">) </w:t>
      </w:r>
    </w:p>
    <w:p w14:paraId="08E96924" w14:textId="7F4358A0" w:rsidR="00205FA6" w:rsidRDefault="006F7B36" w:rsidP="00205FA6">
      <w:pPr>
        <w:numPr>
          <w:ilvl w:val="0"/>
          <w:numId w:val="20"/>
        </w:numPr>
        <w:spacing w:before="100" w:beforeAutospacing="1" w:after="100" w:afterAutospacing="1"/>
      </w:pPr>
      <w:hyperlink r:id="rId17" w:history="1">
        <w:r w:rsidR="00205FA6">
          <w:rPr>
            <w:rStyle w:val="Hyperlink"/>
            <w:rFonts w:hint="eastAsia"/>
          </w:rPr>
          <w:t>CDC Tracking Flu in Young Adults (https://www.cdc.gov/flu/spotlights/2021-2022/flu-tracking-young-adults.htm)</w:t>
        </w:r>
      </w:hyperlink>
      <w:r w:rsidR="00205FA6">
        <w:rPr>
          <w:rFonts w:hint="eastAsia"/>
        </w:rPr>
        <w:t xml:space="preserve"> </w:t>
      </w:r>
    </w:p>
    <w:p w14:paraId="7D732E0A" w14:textId="7F8C354A" w:rsidR="00205FA6" w:rsidRPr="00DB43A3" w:rsidRDefault="00DB43A3" w:rsidP="00205FA6">
      <w:pPr>
        <w:numPr>
          <w:ilvl w:val="0"/>
          <w:numId w:val="20"/>
        </w:numPr>
        <w:spacing w:before="100" w:beforeAutospacing="1" w:after="100" w:afterAutospacing="1"/>
        <w:rPr>
          <w:rStyle w:val="Hyperlink"/>
        </w:rPr>
      </w:pPr>
      <w:r>
        <w:fldChar w:fldCharType="begin"/>
      </w:r>
      <w:r>
        <w:instrText xml:space="preserve"> </w:instrText>
      </w:r>
      <w:r>
        <w:rPr>
          <w:rFonts w:hint="eastAsia"/>
        </w:rPr>
        <w:instrText>HYPERLINK "https://www.cdc.gov/flu/prevent/actions-prevent-flu.htm"</w:instrText>
      </w:r>
      <w:r>
        <w:instrText xml:space="preserve"> </w:instrText>
      </w:r>
      <w:r>
        <w:fldChar w:fldCharType="separate"/>
      </w:r>
      <w:r w:rsidR="00205FA6" w:rsidRPr="00DB43A3">
        <w:rPr>
          <w:rStyle w:val="Hyperlink"/>
          <w:rFonts w:hint="eastAsia"/>
        </w:rPr>
        <w:t>CDC Healthy Habits to Help Protect Against Flu (https://www.cdc.gov/flu/prevent/actions-prevent-flu.htm)</w:t>
      </w:r>
    </w:p>
    <w:p w14:paraId="46BA3D07" w14:textId="00FF4954" w:rsidR="00205FA6" w:rsidRDefault="00DB43A3" w:rsidP="00205FA6">
      <w:pPr>
        <w:pStyle w:val="Heading2"/>
      </w:pPr>
      <w:r>
        <w:rPr>
          <w:rFonts w:ascii="Times New Roman" w:eastAsiaTheme="minorHAnsi" w:hAnsi="Times New Roman" w:cs="Times New Roman"/>
          <w:b w:val="0"/>
          <w:color w:val="auto"/>
          <w:spacing w:val="0"/>
          <w:sz w:val="22"/>
          <w:szCs w:val="24"/>
        </w:rPr>
        <w:fldChar w:fldCharType="end"/>
      </w:r>
      <w:r w:rsidR="00205FA6">
        <w:rPr>
          <w:rFonts w:hint="eastAsia"/>
        </w:rPr>
        <w:t>Additional Resources for Clinicians:</w:t>
      </w:r>
    </w:p>
    <w:p w14:paraId="71C41812" w14:textId="3992C8EA" w:rsidR="00205FA6" w:rsidRDefault="006F7B36" w:rsidP="00205FA6">
      <w:pPr>
        <w:numPr>
          <w:ilvl w:val="0"/>
          <w:numId w:val="21"/>
        </w:numPr>
        <w:spacing w:after="100" w:afterAutospacing="1"/>
      </w:pPr>
      <w:hyperlink r:id="rId18" w:history="1">
        <w:r w:rsidR="00205FA6">
          <w:rPr>
            <w:rStyle w:val="Hyperlink"/>
            <w:rFonts w:hint="eastAsia"/>
          </w:rPr>
          <w:t>CDC: Influenza Antiviral Medications: Summary for Clinicians (https://www.cdc.gov/flu/professionals/antivirals/summary-clinicians.htm)</w:t>
        </w:r>
      </w:hyperlink>
    </w:p>
    <w:p w14:paraId="0ADC6546" w14:textId="3CBABB2E" w:rsidR="00205FA6" w:rsidRDefault="006F7B36" w:rsidP="00205FA6">
      <w:pPr>
        <w:numPr>
          <w:ilvl w:val="0"/>
          <w:numId w:val="21"/>
        </w:numPr>
        <w:spacing w:before="100" w:beforeAutospacing="1" w:after="100" w:afterAutospacing="1"/>
      </w:pPr>
      <w:hyperlink r:id="rId19" w:history="1">
        <w:r w:rsidR="00205FA6">
          <w:rPr>
            <w:rStyle w:val="Hyperlink"/>
            <w:rFonts w:hint="eastAsia"/>
          </w:rPr>
          <w:t>CDC: Information for Clinicians on Influenza Virus Testing (https://www.cdc.gov/flu/professionals/diagnosis/index.htm)</w:t>
        </w:r>
      </w:hyperlink>
    </w:p>
    <w:p w14:paraId="4425F649" w14:textId="3D48E909" w:rsidR="00205FA6" w:rsidRDefault="006F7B36" w:rsidP="00205FA6">
      <w:pPr>
        <w:numPr>
          <w:ilvl w:val="0"/>
          <w:numId w:val="21"/>
        </w:numPr>
        <w:spacing w:before="100" w:beforeAutospacing="1" w:after="100" w:afterAutospacing="1"/>
      </w:pPr>
      <w:hyperlink r:id="rId20" w:history="1">
        <w:r w:rsidR="00205FA6">
          <w:rPr>
            <w:rStyle w:val="Hyperlink"/>
            <w:rFonts w:hint="eastAsia"/>
          </w:rPr>
          <w:t>CDC: Interim Guidance for Influenza Outbreak Management in Long-Term Care and Post-Acute Care Facilities (https://www.cdc.gov/flu/professionals/infectioncontrol/ltc-facility-guidance.htm)</w:t>
        </w:r>
      </w:hyperlink>
    </w:p>
    <w:p w14:paraId="3E52B548" w14:textId="77777777" w:rsidR="00205FA6" w:rsidRDefault="006F7B36" w:rsidP="00205FA6">
      <w:pPr>
        <w:numPr>
          <w:ilvl w:val="0"/>
          <w:numId w:val="21"/>
        </w:numPr>
        <w:spacing w:before="100" w:beforeAutospacing="1" w:after="100" w:afterAutospacing="1"/>
      </w:pPr>
      <w:hyperlink r:id="rId21" w:history="1">
        <w:r w:rsidR="00205FA6">
          <w:rPr>
            <w:rStyle w:val="Hyperlink"/>
            <w:rFonts w:hint="eastAsia"/>
          </w:rPr>
          <w:t>MDH: Influenza Vaccine Information For Health Professionals (https://www.health.state.mn.us/diseases/flu/hcp/vaccine/index.html)</w:t>
        </w:r>
      </w:hyperlink>
    </w:p>
    <w:p w14:paraId="1FC3637A" w14:textId="09FA4504" w:rsidR="00056313" w:rsidRPr="00205FA6" w:rsidRDefault="006F7B36" w:rsidP="00205FA6">
      <w:pPr>
        <w:numPr>
          <w:ilvl w:val="0"/>
          <w:numId w:val="21"/>
        </w:numPr>
        <w:spacing w:before="100" w:beforeAutospacing="1" w:after="100" w:afterAutospacing="1"/>
      </w:pPr>
      <w:hyperlink r:id="rId22" w:history="1">
        <w:r w:rsidR="00205FA6" w:rsidRPr="00974967">
          <w:rPr>
            <w:rStyle w:val="Hyperlink"/>
            <w:rFonts w:hint="eastAsia"/>
          </w:rPr>
          <w:t>CDC: Influenza virus testing in investigational outbreaks in institutional or other closed settings (https://www.cdc.gov/flu/professionals/diagnosis/guide-virus-diagnostic-tests.htm)</w:t>
        </w:r>
      </w:hyperlink>
    </w:p>
    <w:p w14:paraId="4AC5CC7C" w14:textId="77777777" w:rsidR="00056313" w:rsidRDefault="00056313" w:rsidP="00056313">
      <w:pPr>
        <w:pStyle w:val="NormalWeb"/>
      </w:pPr>
      <w:r>
        <w:t xml:space="preserve">A copy of this HAN is available at: </w:t>
      </w:r>
      <w:hyperlink r:id="rId23" w:history="1">
        <w:r>
          <w:rPr>
            <w:rStyle w:val="Hyperlink"/>
          </w:rPr>
          <w:t>MDH Health Alert Network</w:t>
        </w:r>
      </w:hyperlink>
      <w:r>
        <w:t xml:space="preserve"> (</w:t>
      </w:r>
      <w:hyperlink r:id="rId24" w:history="1">
        <w:r>
          <w:rPr>
            <w:rStyle w:val="Hyperlink"/>
          </w:rPr>
          <w:t>http://www.health.state.mn.us/han</w:t>
        </w:r>
      </w:hyperlink>
      <w:r>
        <w:t>)</w:t>
      </w:r>
      <w:r>
        <w:br/>
        <w:t>The content of this message is intended for public health and health care personnel and response partners who have a need to know the information to perform their duties.</w:t>
      </w:r>
    </w:p>
    <w:sectPr w:rsidR="00056313" w:rsidSect="00F61439">
      <w:headerReference w:type="default" r:id="rId25"/>
      <w:footerReference w:type="default" r:id="rId26"/>
      <w:footerReference w:type="first" r:id="rId27"/>
      <w:type w:val="continuous"/>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A3F5C" w14:textId="77777777" w:rsidR="00D0416F" w:rsidRDefault="00D0416F" w:rsidP="00D36495">
      <w:r>
        <w:separator/>
      </w:r>
    </w:p>
  </w:endnote>
  <w:endnote w:type="continuationSeparator" w:id="0">
    <w:p w14:paraId="570F97AB" w14:textId="77777777" w:rsidR="00D0416F" w:rsidRDefault="00D0416F"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007" w:usb1="00000001" w:usb2="00000000" w:usb3="00000000" w:csb0="00000193"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EndPr/>
    <w:sdtContent>
      <w:p w14:paraId="14797D17" w14:textId="24C9A803" w:rsidR="000F7548" w:rsidRDefault="000F7548" w:rsidP="00B45CED">
        <w:pPr>
          <w:pStyle w:val="Header"/>
        </w:pPr>
        <w:r w:rsidRPr="007E537B">
          <w:fldChar w:fldCharType="begin"/>
        </w:r>
        <w:r w:rsidRPr="007E537B">
          <w:instrText xml:space="preserve"> PAGE   \* MERGEFORMAT </w:instrText>
        </w:r>
        <w:r w:rsidRPr="007E537B">
          <w:fldChar w:fldCharType="separate"/>
        </w:r>
        <w:r w:rsidR="004B3EA5">
          <w:rPr>
            <w:noProof/>
          </w:rPr>
          <w:t>3</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68000"/>
      <w:docPartObj>
        <w:docPartGallery w:val="Page Numbers (Bottom of Page)"/>
        <w:docPartUnique/>
      </w:docPartObj>
    </w:sdtPr>
    <w:sdtEndPr>
      <w:rPr>
        <w:rStyle w:val="HeaderChar"/>
        <w:caps/>
        <w:color w:val="003865" w:themeColor="text1"/>
        <w:spacing w:val="40"/>
        <w:sz w:val="20"/>
      </w:rPr>
    </w:sdtEndPr>
    <w:sdtContent>
      <w:p w14:paraId="60F467DB" w14:textId="393BE69A"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4B3EA5">
          <w:rPr>
            <w:rStyle w:val="HeaderChar"/>
            <w:noProof/>
          </w:rPr>
          <w:t>1</w:t>
        </w:r>
        <w:r w:rsidRPr="00EE4C86">
          <w:rPr>
            <w:rStyle w:val="HeaderCha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A1DB3" w14:textId="77777777" w:rsidR="00D0416F" w:rsidRDefault="00D0416F" w:rsidP="00D36495">
      <w:r>
        <w:separator/>
      </w:r>
    </w:p>
  </w:footnote>
  <w:footnote w:type="continuationSeparator" w:id="0">
    <w:p w14:paraId="5D56583E" w14:textId="77777777" w:rsidR="00D0416F" w:rsidRDefault="00D0416F"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C8860" w14:textId="448BE5C2" w:rsidR="00782710" w:rsidRPr="004A2274" w:rsidRDefault="00205FA6" w:rsidP="004A2274">
    <w:pPr>
      <w:pStyle w:val="Header"/>
    </w:pPr>
    <w:r w:rsidRPr="00205FA6">
      <w:t>Health Advisory: Increasing Influenza Activity in College &amp; University Settings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3" w15:restartNumberingAfterBreak="0">
    <w:nsid w:val="0BDB7E5A"/>
    <w:multiLevelType w:val="multilevel"/>
    <w:tmpl w:val="18E44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4C2536"/>
    <w:multiLevelType w:val="multilevel"/>
    <w:tmpl w:val="6B029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DB6E40"/>
    <w:multiLevelType w:val="multilevel"/>
    <w:tmpl w:val="AA66C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DC13B7"/>
    <w:multiLevelType w:val="multilevel"/>
    <w:tmpl w:val="88B4C196"/>
    <w:numStyleLink w:val="Listbullets"/>
  </w:abstractNum>
  <w:abstractNum w:abstractNumId="7" w15:restartNumberingAfterBreak="0">
    <w:nsid w:val="254D30A7"/>
    <w:multiLevelType w:val="multilevel"/>
    <w:tmpl w:val="88BC1E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CC08CD"/>
    <w:multiLevelType w:val="multilevel"/>
    <w:tmpl w:val="AA66C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0" w15:restartNumberingAfterBreak="0">
    <w:nsid w:val="3ADD6BF5"/>
    <w:multiLevelType w:val="multilevel"/>
    <w:tmpl w:val="B7DE4D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C96DA5"/>
    <w:multiLevelType w:val="multilevel"/>
    <w:tmpl w:val="5A141D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BD37BE"/>
    <w:multiLevelType w:val="multilevel"/>
    <w:tmpl w:val="4866EE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A452D8"/>
    <w:multiLevelType w:val="multilevel"/>
    <w:tmpl w:val="EE8AE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B738A8"/>
    <w:multiLevelType w:val="multilevel"/>
    <w:tmpl w:val="62468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6" w15:restartNumberingAfterBreak="0">
    <w:nsid w:val="55CB1A24"/>
    <w:multiLevelType w:val="multilevel"/>
    <w:tmpl w:val="1B76E3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E1206E"/>
    <w:multiLevelType w:val="multilevel"/>
    <w:tmpl w:val="BDBE95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DE6176"/>
    <w:multiLevelType w:val="multilevel"/>
    <w:tmpl w:val="49FA9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694989"/>
    <w:multiLevelType w:val="multilevel"/>
    <w:tmpl w:val="7E8E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5807FE"/>
    <w:multiLevelType w:val="multilevel"/>
    <w:tmpl w:val="AE0A6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9"/>
  </w:num>
  <w:num w:numId="4">
    <w:abstractNumId w:val="2"/>
  </w:num>
  <w:num w:numId="5">
    <w:abstractNumId w:val="6"/>
  </w:num>
  <w:num w:numId="6">
    <w:abstractNumId w:val="15"/>
  </w:num>
  <w:num w:numId="7">
    <w:abstractNumId w:val="19"/>
  </w:num>
  <w:num w:numId="8">
    <w:abstractNumId w:val="16"/>
  </w:num>
  <w:num w:numId="9">
    <w:abstractNumId w:val="10"/>
  </w:num>
  <w:num w:numId="10">
    <w:abstractNumId w:val="18"/>
  </w:num>
  <w:num w:numId="11">
    <w:abstractNumId w:val="8"/>
  </w:num>
  <w:num w:numId="12">
    <w:abstractNumId w:val="12"/>
  </w:num>
  <w:num w:numId="13">
    <w:abstractNumId w:val="5"/>
  </w:num>
  <w:num w:numId="14">
    <w:abstractNumId w:val="17"/>
  </w:num>
  <w:num w:numId="15">
    <w:abstractNumId w:val="13"/>
  </w:num>
  <w:num w:numId="16">
    <w:abstractNumId w:val="20"/>
  </w:num>
  <w:num w:numId="17">
    <w:abstractNumId w:val="7"/>
  </w:num>
  <w:num w:numId="18">
    <w:abstractNumId w:val="11"/>
  </w:num>
  <w:num w:numId="19">
    <w:abstractNumId w:val="3"/>
  </w:num>
  <w:num w:numId="20">
    <w:abstractNumId w:val="14"/>
  </w:num>
  <w:num w:numId="21">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983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FCB"/>
    <w:rsid w:val="000009FC"/>
    <w:rsid w:val="00001775"/>
    <w:rsid w:val="000021B3"/>
    <w:rsid w:val="000050B3"/>
    <w:rsid w:val="0000588B"/>
    <w:rsid w:val="00006C0D"/>
    <w:rsid w:val="00006CDB"/>
    <w:rsid w:val="00007022"/>
    <w:rsid w:val="000075C5"/>
    <w:rsid w:val="00007995"/>
    <w:rsid w:val="00010174"/>
    <w:rsid w:val="00010828"/>
    <w:rsid w:val="00011548"/>
    <w:rsid w:val="000117CE"/>
    <w:rsid w:val="00013349"/>
    <w:rsid w:val="00013DF1"/>
    <w:rsid w:val="000155C6"/>
    <w:rsid w:val="00015C84"/>
    <w:rsid w:val="00017AF7"/>
    <w:rsid w:val="00017D52"/>
    <w:rsid w:val="0002112F"/>
    <w:rsid w:val="00022309"/>
    <w:rsid w:val="0002249D"/>
    <w:rsid w:val="00022A4C"/>
    <w:rsid w:val="0002353B"/>
    <w:rsid w:val="00024A86"/>
    <w:rsid w:val="00025C98"/>
    <w:rsid w:val="000267D5"/>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313"/>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3ED4"/>
    <w:rsid w:val="00084078"/>
    <w:rsid w:val="000845A8"/>
    <w:rsid w:val="000847C2"/>
    <w:rsid w:val="00084F5D"/>
    <w:rsid w:val="000866F6"/>
    <w:rsid w:val="00086D73"/>
    <w:rsid w:val="0008769C"/>
    <w:rsid w:val="00087A1F"/>
    <w:rsid w:val="00090DC9"/>
    <w:rsid w:val="00091B47"/>
    <w:rsid w:val="0009234B"/>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47DD"/>
    <w:rsid w:val="000A534D"/>
    <w:rsid w:val="000A54C3"/>
    <w:rsid w:val="000A5D05"/>
    <w:rsid w:val="000A6760"/>
    <w:rsid w:val="000A6FE2"/>
    <w:rsid w:val="000A762F"/>
    <w:rsid w:val="000A7723"/>
    <w:rsid w:val="000A7963"/>
    <w:rsid w:val="000B0349"/>
    <w:rsid w:val="000B06C5"/>
    <w:rsid w:val="000B1C9A"/>
    <w:rsid w:val="000B23A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5E53"/>
    <w:rsid w:val="000E7E99"/>
    <w:rsid w:val="000F06EF"/>
    <w:rsid w:val="000F1830"/>
    <w:rsid w:val="000F252A"/>
    <w:rsid w:val="000F30A3"/>
    <w:rsid w:val="000F3386"/>
    <w:rsid w:val="000F6971"/>
    <w:rsid w:val="000F7548"/>
    <w:rsid w:val="000F78F6"/>
    <w:rsid w:val="000F7F0E"/>
    <w:rsid w:val="001000AB"/>
    <w:rsid w:val="001024C4"/>
    <w:rsid w:val="001039AA"/>
    <w:rsid w:val="00104058"/>
    <w:rsid w:val="00104640"/>
    <w:rsid w:val="00105EE1"/>
    <w:rsid w:val="0010626D"/>
    <w:rsid w:val="0010633D"/>
    <w:rsid w:val="001075F3"/>
    <w:rsid w:val="00107681"/>
    <w:rsid w:val="00107B89"/>
    <w:rsid w:val="00107EC1"/>
    <w:rsid w:val="001112D6"/>
    <w:rsid w:val="0011130C"/>
    <w:rsid w:val="00112490"/>
    <w:rsid w:val="001127AB"/>
    <w:rsid w:val="00112B06"/>
    <w:rsid w:val="00113C69"/>
    <w:rsid w:val="00113F82"/>
    <w:rsid w:val="0011684D"/>
    <w:rsid w:val="001168EF"/>
    <w:rsid w:val="00116EFC"/>
    <w:rsid w:val="00117F64"/>
    <w:rsid w:val="00120DC5"/>
    <w:rsid w:val="00121452"/>
    <w:rsid w:val="001220C4"/>
    <w:rsid w:val="001228B8"/>
    <w:rsid w:val="00123077"/>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B89"/>
    <w:rsid w:val="001328FE"/>
    <w:rsid w:val="00133CB3"/>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3E6C"/>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47C4"/>
    <w:rsid w:val="001753DF"/>
    <w:rsid w:val="001754B2"/>
    <w:rsid w:val="00176439"/>
    <w:rsid w:val="001767F4"/>
    <w:rsid w:val="00176AD9"/>
    <w:rsid w:val="00180D8C"/>
    <w:rsid w:val="00181112"/>
    <w:rsid w:val="00181A05"/>
    <w:rsid w:val="0018265E"/>
    <w:rsid w:val="0018336F"/>
    <w:rsid w:val="00184F61"/>
    <w:rsid w:val="00185912"/>
    <w:rsid w:val="00185DE4"/>
    <w:rsid w:val="0018770D"/>
    <w:rsid w:val="00190EB2"/>
    <w:rsid w:val="00191E21"/>
    <w:rsid w:val="00192336"/>
    <w:rsid w:val="00192ED2"/>
    <w:rsid w:val="001941DC"/>
    <w:rsid w:val="0019499A"/>
    <w:rsid w:val="00194CEB"/>
    <w:rsid w:val="0019552D"/>
    <w:rsid w:val="00195CC6"/>
    <w:rsid w:val="00196014"/>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5F2E"/>
    <w:rsid w:val="001E69DC"/>
    <w:rsid w:val="001E6C02"/>
    <w:rsid w:val="001E7102"/>
    <w:rsid w:val="001E7D5C"/>
    <w:rsid w:val="001E7FDE"/>
    <w:rsid w:val="001F1262"/>
    <w:rsid w:val="001F1783"/>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05FA6"/>
    <w:rsid w:val="00210009"/>
    <w:rsid w:val="00210793"/>
    <w:rsid w:val="00211563"/>
    <w:rsid w:val="002119D1"/>
    <w:rsid w:val="002134D4"/>
    <w:rsid w:val="00214175"/>
    <w:rsid w:val="00214233"/>
    <w:rsid w:val="00214235"/>
    <w:rsid w:val="002145E8"/>
    <w:rsid w:val="0021484F"/>
    <w:rsid w:val="00214E1D"/>
    <w:rsid w:val="00215D16"/>
    <w:rsid w:val="0021659B"/>
    <w:rsid w:val="00216626"/>
    <w:rsid w:val="0021718B"/>
    <w:rsid w:val="00217C67"/>
    <w:rsid w:val="00217EAF"/>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480"/>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2F9"/>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1C30"/>
    <w:rsid w:val="002C256C"/>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1096"/>
    <w:rsid w:val="002E1353"/>
    <w:rsid w:val="002E15F2"/>
    <w:rsid w:val="002E1AE4"/>
    <w:rsid w:val="002E264B"/>
    <w:rsid w:val="002E3244"/>
    <w:rsid w:val="002E32C9"/>
    <w:rsid w:val="002E3A04"/>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07092"/>
    <w:rsid w:val="003100B0"/>
    <w:rsid w:val="003101F9"/>
    <w:rsid w:val="00311076"/>
    <w:rsid w:val="003117B4"/>
    <w:rsid w:val="00311CBD"/>
    <w:rsid w:val="00312491"/>
    <w:rsid w:val="0031376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0CE"/>
    <w:rsid w:val="00356DDF"/>
    <w:rsid w:val="003575C3"/>
    <w:rsid w:val="003577CB"/>
    <w:rsid w:val="0036028B"/>
    <w:rsid w:val="003623E9"/>
    <w:rsid w:val="00362C76"/>
    <w:rsid w:val="0036477D"/>
    <w:rsid w:val="00364DCD"/>
    <w:rsid w:val="003652F6"/>
    <w:rsid w:val="00365C40"/>
    <w:rsid w:val="0036642C"/>
    <w:rsid w:val="003665B5"/>
    <w:rsid w:val="0036750C"/>
    <w:rsid w:val="003717F9"/>
    <w:rsid w:val="00372091"/>
    <w:rsid w:val="003730D2"/>
    <w:rsid w:val="00373479"/>
    <w:rsid w:val="0037368B"/>
    <w:rsid w:val="00373C27"/>
    <w:rsid w:val="00373D7F"/>
    <w:rsid w:val="003746D9"/>
    <w:rsid w:val="00375FE3"/>
    <w:rsid w:val="00377080"/>
    <w:rsid w:val="003775E9"/>
    <w:rsid w:val="003806B9"/>
    <w:rsid w:val="00381172"/>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0F38"/>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1B51"/>
    <w:rsid w:val="00403720"/>
    <w:rsid w:val="00403E21"/>
    <w:rsid w:val="0040407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3086"/>
    <w:rsid w:val="00433151"/>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418C"/>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42DB"/>
    <w:rsid w:val="0049578A"/>
    <w:rsid w:val="00495F3D"/>
    <w:rsid w:val="004961EC"/>
    <w:rsid w:val="00497AC9"/>
    <w:rsid w:val="004A0154"/>
    <w:rsid w:val="004A227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EA5"/>
    <w:rsid w:val="004B3F20"/>
    <w:rsid w:val="004B418B"/>
    <w:rsid w:val="004B44AA"/>
    <w:rsid w:val="004B4A56"/>
    <w:rsid w:val="004B4FED"/>
    <w:rsid w:val="004B53BA"/>
    <w:rsid w:val="004B5C87"/>
    <w:rsid w:val="004B5F07"/>
    <w:rsid w:val="004B68DF"/>
    <w:rsid w:val="004C00E9"/>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F0724"/>
    <w:rsid w:val="004F0A11"/>
    <w:rsid w:val="004F19F5"/>
    <w:rsid w:val="004F1D68"/>
    <w:rsid w:val="004F21E0"/>
    <w:rsid w:val="004F25C8"/>
    <w:rsid w:val="004F3C1B"/>
    <w:rsid w:val="004F49D6"/>
    <w:rsid w:val="004F4F78"/>
    <w:rsid w:val="004F5049"/>
    <w:rsid w:val="004F53F8"/>
    <w:rsid w:val="004F7588"/>
    <w:rsid w:val="004F7C28"/>
    <w:rsid w:val="005005E2"/>
    <w:rsid w:val="00500815"/>
    <w:rsid w:val="00501ABC"/>
    <w:rsid w:val="00501C34"/>
    <w:rsid w:val="00503147"/>
    <w:rsid w:val="0050352E"/>
    <w:rsid w:val="00503707"/>
    <w:rsid w:val="00503F61"/>
    <w:rsid w:val="005040E4"/>
    <w:rsid w:val="005043C4"/>
    <w:rsid w:val="00505D35"/>
    <w:rsid w:val="00507AA4"/>
    <w:rsid w:val="00510504"/>
    <w:rsid w:val="00510810"/>
    <w:rsid w:val="00510862"/>
    <w:rsid w:val="00511187"/>
    <w:rsid w:val="005113F6"/>
    <w:rsid w:val="005119A7"/>
    <w:rsid w:val="00511F4A"/>
    <w:rsid w:val="005127EA"/>
    <w:rsid w:val="005131AF"/>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1A5"/>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77F1F"/>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4F"/>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2BB7"/>
    <w:rsid w:val="005C3113"/>
    <w:rsid w:val="005C3847"/>
    <w:rsid w:val="005C3A00"/>
    <w:rsid w:val="005C40BE"/>
    <w:rsid w:val="005C40E6"/>
    <w:rsid w:val="005C4813"/>
    <w:rsid w:val="005C5479"/>
    <w:rsid w:val="005C5B9C"/>
    <w:rsid w:val="005C5CF0"/>
    <w:rsid w:val="005C6053"/>
    <w:rsid w:val="005C73DA"/>
    <w:rsid w:val="005D0E5B"/>
    <w:rsid w:val="005D1947"/>
    <w:rsid w:val="005D1FA5"/>
    <w:rsid w:val="005D253D"/>
    <w:rsid w:val="005D2C1A"/>
    <w:rsid w:val="005D44D0"/>
    <w:rsid w:val="005D496E"/>
    <w:rsid w:val="005D5947"/>
    <w:rsid w:val="005D5F48"/>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ACF"/>
    <w:rsid w:val="005F2D3E"/>
    <w:rsid w:val="005F3204"/>
    <w:rsid w:val="005F388B"/>
    <w:rsid w:val="005F4455"/>
    <w:rsid w:val="005F4648"/>
    <w:rsid w:val="005F4F96"/>
    <w:rsid w:val="005F5E9E"/>
    <w:rsid w:val="005F69F1"/>
    <w:rsid w:val="005F6DD2"/>
    <w:rsid w:val="005F7326"/>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042B"/>
    <w:rsid w:val="00621345"/>
    <w:rsid w:val="00621A61"/>
    <w:rsid w:val="00621E5F"/>
    <w:rsid w:val="00621F80"/>
    <w:rsid w:val="00622551"/>
    <w:rsid w:val="00623050"/>
    <w:rsid w:val="006230D0"/>
    <w:rsid w:val="00623AAF"/>
    <w:rsid w:val="00623B82"/>
    <w:rsid w:val="0062487D"/>
    <w:rsid w:val="00624ECE"/>
    <w:rsid w:val="00625BE1"/>
    <w:rsid w:val="00625C4B"/>
    <w:rsid w:val="00626CFC"/>
    <w:rsid w:val="006270B9"/>
    <w:rsid w:val="00627EC1"/>
    <w:rsid w:val="006306DA"/>
    <w:rsid w:val="006335A4"/>
    <w:rsid w:val="006336F6"/>
    <w:rsid w:val="00634AD3"/>
    <w:rsid w:val="00634F0B"/>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3883"/>
    <w:rsid w:val="006841D5"/>
    <w:rsid w:val="00685568"/>
    <w:rsid w:val="00685B45"/>
    <w:rsid w:val="006866C5"/>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0F78"/>
    <w:rsid w:val="006E12BB"/>
    <w:rsid w:val="006E17EA"/>
    <w:rsid w:val="006E2424"/>
    <w:rsid w:val="006E2D22"/>
    <w:rsid w:val="006E303E"/>
    <w:rsid w:val="006E350D"/>
    <w:rsid w:val="006E5A22"/>
    <w:rsid w:val="006E620C"/>
    <w:rsid w:val="006F1632"/>
    <w:rsid w:val="006F17C0"/>
    <w:rsid w:val="006F1854"/>
    <w:rsid w:val="006F2684"/>
    <w:rsid w:val="006F293C"/>
    <w:rsid w:val="006F456A"/>
    <w:rsid w:val="006F53A4"/>
    <w:rsid w:val="006F563A"/>
    <w:rsid w:val="006F5AB0"/>
    <w:rsid w:val="006F5AD1"/>
    <w:rsid w:val="006F6536"/>
    <w:rsid w:val="006F6A59"/>
    <w:rsid w:val="006F6F45"/>
    <w:rsid w:val="006F76D1"/>
    <w:rsid w:val="006F7910"/>
    <w:rsid w:val="006F7B36"/>
    <w:rsid w:val="00700205"/>
    <w:rsid w:val="007012CE"/>
    <w:rsid w:val="007040E8"/>
    <w:rsid w:val="00704453"/>
    <w:rsid w:val="00704A3C"/>
    <w:rsid w:val="00704F94"/>
    <w:rsid w:val="00705C6B"/>
    <w:rsid w:val="00705D4B"/>
    <w:rsid w:val="007069AC"/>
    <w:rsid w:val="00706EFE"/>
    <w:rsid w:val="0070721A"/>
    <w:rsid w:val="00707965"/>
    <w:rsid w:val="007107E6"/>
    <w:rsid w:val="00711316"/>
    <w:rsid w:val="00711474"/>
    <w:rsid w:val="00711E37"/>
    <w:rsid w:val="00713171"/>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5515"/>
    <w:rsid w:val="007475A7"/>
    <w:rsid w:val="00750A74"/>
    <w:rsid w:val="00750FBF"/>
    <w:rsid w:val="0075100F"/>
    <w:rsid w:val="0075123D"/>
    <w:rsid w:val="007520DC"/>
    <w:rsid w:val="00752C12"/>
    <w:rsid w:val="00752E1E"/>
    <w:rsid w:val="00753E3A"/>
    <w:rsid w:val="007543A1"/>
    <w:rsid w:val="00754B2E"/>
    <w:rsid w:val="00754BE4"/>
    <w:rsid w:val="00755572"/>
    <w:rsid w:val="00756440"/>
    <w:rsid w:val="00756497"/>
    <w:rsid w:val="007566D6"/>
    <w:rsid w:val="00756872"/>
    <w:rsid w:val="00756CB9"/>
    <w:rsid w:val="0075709C"/>
    <w:rsid w:val="00757707"/>
    <w:rsid w:val="007577A5"/>
    <w:rsid w:val="00757981"/>
    <w:rsid w:val="00757DC7"/>
    <w:rsid w:val="00757E4C"/>
    <w:rsid w:val="007605B7"/>
    <w:rsid w:val="007606F4"/>
    <w:rsid w:val="00760A71"/>
    <w:rsid w:val="00761079"/>
    <w:rsid w:val="00761210"/>
    <w:rsid w:val="00762882"/>
    <w:rsid w:val="00762A48"/>
    <w:rsid w:val="007644D9"/>
    <w:rsid w:val="00764881"/>
    <w:rsid w:val="00764962"/>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3A39"/>
    <w:rsid w:val="00794F02"/>
    <w:rsid w:val="00794FBF"/>
    <w:rsid w:val="00795657"/>
    <w:rsid w:val="00796A5B"/>
    <w:rsid w:val="00796B04"/>
    <w:rsid w:val="00796C3B"/>
    <w:rsid w:val="007A01C9"/>
    <w:rsid w:val="007A02AA"/>
    <w:rsid w:val="007A045C"/>
    <w:rsid w:val="007A04F6"/>
    <w:rsid w:val="007A12A4"/>
    <w:rsid w:val="007A1BA1"/>
    <w:rsid w:val="007A35E6"/>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3590"/>
    <w:rsid w:val="007C3D9D"/>
    <w:rsid w:val="007C4115"/>
    <w:rsid w:val="007C4F3C"/>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537B"/>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4FA"/>
    <w:rsid w:val="00804556"/>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EE8"/>
    <w:rsid w:val="00824A97"/>
    <w:rsid w:val="00824D8A"/>
    <w:rsid w:val="008250D5"/>
    <w:rsid w:val="0082562F"/>
    <w:rsid w:val="00826C5E"/>
    <w:rsid w:val="00826DA5"/>
    <w:rsid w:val="00826EE5"/>
    <w:rsid w:val="00826F7B"/>
    <w:rsid w:val="008309E9"/>
    <w:rsid w:val="008311F7"/>
    <w:rsid w:val="00831301"/>
    <w:rsid w:val="0083188D"/>
    <w:rsid w:val="00834ACA"/>
    <w:rsid w:val="008364ED"/>
    <w:rsid w:val="00836BB7"/>
    <w:rsid w:val="008377E6"/>
    <w:rsid w:val="0084061F"/>
    <w:rsid w:val="00843E84"/>
    <w:rsid w:val="00844445"/>
    <w:rsid w:val="008445DD"/>
    <w:rsid w:val="008450E3"/>
    <w:rsid w:val="0084516F"/>
    <w:rsid w:val="00846B1E"/>
    <w:rsid w:val="0084760B"/>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4BB"/>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E92"/>
    <w:rsid w:val="00936F2F"/>
    <w:rsid w:val="00940331"/>
    <w:rsid w:val="00940A68"/>
    <w:rsid w:val="00941F01"/>
    <w:rsid w:val="0094220E"/>
    <w:rsid w:val="00942355"/>
    <w:rsid w:val="0094241B"/>
    <w:rsid w:val="009443E8"/>
    <w:rsid w:val="009446D7"/>
    <w:rsid w:val="00944EAC"/>
    <w:rsid w:val="009452FD"/>
    <w:rsid w:val="0094639D"/>
    <w:rsid w:val="00946758"/>
    <w:rsid w:val="00946F4B"/>
    <w:rsid w:val="00947B41"/>
    <w:rsid w:val="00950BEE"/>
    <w:rsid w:val="00951109"/>
    <w:rsid w:val="00951378"/>
    <w:rsid w:val="00951603"/>
    <w:rsid w:val="009528CD"/>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5FB8"/>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B7E13"/>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9F7F2A"/>
    <w:rsid w:val="00A003CF"/>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2B6"/>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06A"/>
    <w:rsid w:val="00A32113"/>
    <w:rsid w:val="00A32A11"/>
    <w:rsid w:val="00A33A00"/>
    <w:rsid w:val="00A3465B"/>
    <w:rsid w:val="00A348F7"/>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13D3"/>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121"/>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5F5"/>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29A"/>
    <w:rsid w:val="00AC46A1"/>
    <w:rsid w:val="00AC56A2"/>
    <w:rsid w:val="00AC63D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6FCB"/>
    <w:rsid w:val="00AE7018"/>
    <w:rsid w:val="00AE791E"/>
    <w:rsid w:val="00AE7BBD"/>
    <w:rsid w:val="00AF0641"/>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545"/>
    <w:rsid w:val="00B12791"/>
    <w:rsid w:val="00B12E15"/>
    <w:rsid w:val="00B13393"/>
    <w:rsid w:val="00B138C2"/>
    <w:rsid w:val="00B13C42"/>
    <w:rsid w:val="00B15852"/>
    <w:rsid w:val="00B15A0A"/>
    <w:rsid w:val="00B17064"/>
    <w:rsid w:val="00B17958"/>
    <w:rsid w:val="00B20C35"/>
    <w:rsid w:val="00B210BD"/>
    <w:rsid w:val="00B2265B"/>
    <w:rsid w:val="00B23C14"/>
    <w:rsid w:val="00B26535"/>
    <w:rsid w:val="00B301EB"/>
    <w:rsid w:val="00B30818"/>
    <w:rsid w:val="00B30AC7"/>
    <w:rsid w:val="00B3151B"/>
    <w:rsid w:val="00B31CA6"/>
    <w:rsid w:val="00B325C1"/>
    <w:rsid w:val="00B33E84"/>
    <w:rsid w:val="00B35DCF"/>
    <w:rsid w:val="00B36AB7"/>
    <w:rsid w:val="00B405E5"/>
    <w:rsid w:val="00B41234"/>
    <w:rsid w:val="00B43277"/>
    <w:rsid w:val="00B4332B"/>
    <w:rsid w:val="00B439FC"/>
    <w:rsid w:val="00B44D3C"/>
    <w:rsid w:val="00B4589D"/>
    <w:rsid w:val="00B45CED"/>
    <w:rsid w:val="00B46F9C"/>
    <w:rsid w:val="00B5004D"/>
    <w:rsid w:val="00B5042A"/>
    <w:rsid w:val="00B50662"/>
    <w:rsid w:val="00B5081C"/>
    <w:rsid w:val="00B5274A"/>
    <w:rsid w:val="00B52972"/>
    <w:rsid w:val="00B54383"/>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55DC"/>
    <w:rsid w:val="00B65F89"/>
    <w:rsid w:val="00B663BD"/>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1AB5"/>
    <w:rsid w:val="00B826F2"/>
    <w:rsid w:val="00B83CE6"/>
    <w:rsid w:val="00B8473C"/>
    <w:rsid w:val="00B8531D"/>
    <w:rsid w:val="00B85340"/>
    <w:rsid w:val="00B855B4"/>
    <w:rsid w:val="00B858A3"/>
    <w:rsid w:val="00B85C20"/>
    <w:rsid w:val="00B8613E"/>
    <w:rsid w:val="00B865DD"/>
    <w:rsid w:val="00B876AC"/>
    <w:rsid w:val="00B87F99"/>
    <w:rsid w:val="00B9029B"/>
    <w:rsid w:val="00B90BA6"/>
    <w:rsid w:val="00B90C68"/>
    <w:rsid w:val="00B90DF5"/>
    <w:rsid w:val="00B913ED"/>
    <w:rsid w:val="00B91C00"/>
    <w:rsid w:val="00B93350"/>
    <w:rsid w:val="00B93655"/>
    <w:rsid w:val="00B940F3"/>
    <w:rsid w:val="00B94C9F"/>
    <w:rsid w:val="00B950E0"/>
    <w:rsid w:val="00B956F3"/>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36D"/>
    <w:rsid w:val="00BD5890"/>
    <w:rsid w:val="00BD5D9B"/>
    <w:rsid w:val="00BD7006"/>
    <w:rsid w:val="00BD7CB3"/>
    <w:rsid w:val="00BE09B2"/>
    <w:rsid w:val="00BE0A6A"/>
    <w:rsid w:val="00BE1E4C"/>
    <w:rsid w:val="00BE2EE9"/>
    <w:rsid w:val="00BE3103"/>
    <w:rsid w:val="00BE382A"/>
    <w:rsid w:val="00BE3896"/>
    <w:rsid w:val="00BE3ABF"/>
    <w:rsid w:val="00BE5001"/>
    <w:rsid w:val="00BE5117"/>
    <w:rsid w:val="00BE53D4"/>
    <w:rsid w:val="00BE5BB9"/>
    <w:rsid w:val="00BE6DE1"/>
    <w:rsid w:val="00BF09DC"/>
    <w:rsid w:val="00BF0C3B"/>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3B37"/>
    <w:rsid w:val="00C14595"/>
    <w:rsid w:val="00C1494E"/>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41017"/>
    <w:rsid w:val="00C411A2"/>
    <w:rsid w:val="00C4143B"/>
    <w:rsid w:val="00C41855"/>
    <w:rsid w:val="00C42060"/>
    <w:rsid w:val="00C42D1F"/>
    <w:rsid w:val="00C43273"/>
    <w:rsid w:val="00C45326"/>
    <w:rsid w:val="00C46952"/>
    <w:rsid w:val="00C46B6A"/>
    <w:rsid w:val="00C505B5"/>
    <w:rsid w:val="00C50D28"/>
    <w:rsid w:val="00C50E19"/>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9EA"/>
    <w:rsid w:val="00C82BD2"/>
    <w:rsid w:val="00C8404F"/>
    <w:rsid w:val="00C8410E"/>
    <w:rsid w:val="00C84366"/>
    <w:rsid w:val="00C851B6"/>
    <w:rsid w:val="00C852D9"/>
    <w:rsid w:val="00C8552F"/>
    <w:rsid w:val="00C85ADD"/>
    <w:rsid w:val="00C85DD3"/>
    <w:rsid w:val="00C875F8"/>
    <w:rsid w:val="00C87C8A"/>
    <w:rsid w:val="00C87F2B"/>
    <w:rsid w:val="00C90730"/>
    <w:rsid w:val="00C911B6"/>
    <w:rsid w:val="00C9171A"/>
    <w:rsid w:val="00C918C6"/>
    <w:rsid w:val="00C91B56"/>
    <w:rsid w:val="00C928D6"/>
    <w:rsid w:val="00C943DD"/>
    <w:rsid w:val="00C94810"/>
    <w:rsid w:val="00C94957"/>
    <w:rsid w:val="00C9532E"/>
    <w:rsid w:val="00C96BDA"/>
    <w:rsid w:val="00C96D0C"/>
    <w:rsid w:val="00C975A1"/>
    <w:rsid w:val="00C97919"/>
    <w:rsid w:val="00C9799E"/>
    <w:rsid w:val="00C97B96"/>
    <w:rsid w:val="00CA0188"/>
    <w:rsid w:val="00CA0CEC"/>
    <w:rsid w:val="00CA1019"/>
    <w:rsid w:val="00CA1321"/>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4F3D"/>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16F"/>
    <w:rsid w:val="00D04952"/>
    <w:rsid w:val="00D04E66"/>
    <w:rsid w:val="00D04FC1"/>
    <w:rsid w:val="00D05081"/>
    <w:rsid w:val="00D05379"/>
    <w:rsid w:val="00D05783"/>
    <w:rsid w:val="00D065A2"/>
    <w:rsid w:val="00D06EE6"/>
    <w:rsid w:val="00D1062D"/>
    <w:rsid w:val="00D11CCD"/>
    <w:rsid w:val="00D12FEB"/>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70D11"/>
    <w:rsid w:val="00D71273"/>
    <w:rsid w:val="00D72D81"/>
    <w:rsid w:val="00D730B1"/>
    <w:rsid w:val="00D7352A"/>
    <w:rsid w:val="00D7431E"/>
    <w:rsid w:val="00D74A28"/>
    <w:rsid w:val="00D74FA6"/>
    <w:rsid w:val="00D7671A"/>
    <w:rsid w:val="00D76E56"/>
    <w:rsid w:val="00D771C7"/>
    <w:rsid w:val="00D828A9"/>
    <w:rsid w:val="00D82EAB"/>
    <w:rsid w:val="00D82F85"/>
    <w:rsid w:val="00D8393C"/>
    <w:rsid w:val="00D83D63"/>
    <w:rsid w:val="00D83F4A"/>
    <w:rsid w:val="00D85455"/>
    <w:rsid w:val="00D8639F"/>
    <w:rsid w:val="00D86627"/>
    <w:rsid w:val="00D871C1"/>
    <w:rsid w:val="00D87A42"/>
    <w:rsid w:val="00D87AB1"/>
    <w:rsid w:val="00D90872"/>
    <w:rsid w:val="00D91949"/>
    <w:rsid w:val="00D91AF3"/>
    <w:rsid w:val="00D92996"/>
    <w:rsid w:val="00D93716"/>
    <w:rsid w:val="00D9465C"/>
    <w:rsid w:val="00D950FA"/>
    <w:rsid w:val="00D95C10"/>
    <w:rsid w:val="00D97264"/>
    <w:rsid w:val="00D97485"/>
    <w:rsid w:val="00D97D67"/>
    <w:rsid w:val="00DA107C"/>
    <w:rsid w:val="00DA193D"/>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3A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2F"/>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44F"/>
    <w:rsid w:val="00DF1F0C"/>
    <w:rsid w:val="00DF1F47"/>
    <w:rsid w:val="00DF2B47"/>
    <w:rsid w:val="00DF2DFD"/>
    <w:rsid w:val="00DF2FAD"/>
    <w:rsid w:val="00DF34C2"/>
    <w:rsid w:val="00DF4888"/>
    <w:rsid w:val="00DF4C44"/>
    <w:rsid w:val="00DF4E8B"/>
    <w:rsid w:val="00DF5548"/>
    <w:rsid w:val="00DF5A72"/>
    <w:rsid w:val="00DF669D"/>
    <w:rsid w:val="00DF76A0"/>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44EB1"/>
    <w:rsid w:val="00E45757"/>
    <w:rsid w:val="00E5092A"/>
    <w:rsid w:val="00E50B38"/>
    <w:rsid w:val="00E50BB1"/>
    <w:rsid w:val="00E51BDE"/>
    <w:rsid w:val="00E523E4"/>
    <w:rsid w:val="00E52D7B"/>
    <w:rsid w:val="00E531C2"/>
    <w:rsid w:val="00E53639"/>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4B4E"/>
    <w:rsid w:val="00E84D2C"/>
    <w:rsid w:val="00E85564"/>
    <w:rsid w:val="00E85BCF"/>
    <w:rsid w:val="00E8670A"/>
    <w:rsid w:val="00E868E1"/>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7113"/>
    <w:rsid w:val="00EE76AF"/>
    <w:rsid w:val="00EE7758"/>
    <w:rsid w:val="00EF21B3"/>
    <w:rsid w:val="00EF2505"/>
    <w:rsid w:val="00EF25A3"/>
    <w:rsid w:val="00EF2A34"/>
    <w:rsid w:val="00EF4753"/>
    <w:rsid w:val="00EF5271"/>
    <w:rsid w:val="00EF586A"/>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0DB9"/>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17A62"/>
    <w:rsid w:val="00F17D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1D6"/>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6C5A"/>
    <w:rsid w:val="00F57D3E"/>
    <w:rsid w:val="00F57F43"/>
    <w:rsid w:val="00F61415"/>
    <w:rsid w:val="00F61439"/>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1B93"/>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2EB5E6F3"/>
  <w15:docId w15:val="{DF2868D1-0210-4246-8879-B0DB9855B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qFormat="1"/>
    <w:lsdException w:name="heading 1" w:uiPriority="4"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5FA6"/>
    <w:pPr>
      <w:spacing w:before="0" w:after="0"/>
    </w:pPr>
    <w:rPr>
      <w:rFonts w:ascii="Times New Roman" w:eastAsiaTheme="minorHAnsi" w:hAnsi="Times New Roman" w:cs="Times New Roman"/>
      <w:szCs w:val="24"/>
    </w:rPr>
  </w:style>
  <w:style w:type="paragraph" w:styleId="Heading1">
    <w:name w:val="heading 1"/>
    <w:aliases w:val="H1 Title"/>
    <w:next w:val="Normal"/>
    <w:link w:val="Heading1Char"/>
    <w:uiPriority w:val="4"/>
    <w:qFormat/>
    <w:rsid w:val="00216626"/>
    <w:pPr>
      <w:keepNext/>
      <w:keepLine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4"/>
    <w:qFormat/>
    <w:rsid w:val="00216626"/>
    <w:pPr>
      <w:suppressAutoHyphens/>
      <w:spacing w:before="360" w:after="120" w:line="192" w:lineRule="auto"/>
      <w:outlineLvl w:val="1"/>
    </w:pPr>
    <w:rPr>
      <w:rFonts w:asciiTheme="minorHAnsi" w:eastAsiaTheme="majorEastAsia" w:hAnsiTheme="minorHAnsi" w:cstheme="majorBidi"/>
      <w:b/>
      <w:color w:val="003865" w:themeColor="accent1"/>
      <w:spacing w:val="-5"/>
      <w:sz w:val="36"/>
      <w:szCs w:val="36"/>
    </w:rPr>
  </w:style>
  <w:style w:type="paragraph" w:styleId="Heading3">
    <w:name w:val="heading 3"/>
    <w:aliases w:val="H3 Heading"/>
    <w:next w:val="Normal"/>
    <w:link w:val="Heading3Char"/>
    <w:uiPriority w:val="4"/>
    <w:qFormat/>
    <w:rsid w:val="00216626"/>
    <w:pPr>
      <w:keepNext/>
      <w:keepLine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216626"/>
    <w:pPr>
      <w:keepNext/>
      <w:keepLine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216626"/>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216626"/>
    <w:rPr>
      <w:rFonts w:asciiTheme="minorHAnsi" w:eastAsiaTheme="majorEastAsia" w:hAnsiTheme="minorHAnsi" w:cstheme="majorBidi"/>
      <w:b/>
      <w:color w:val="003865" w:themeColor="accent1"/>
      <w:spacing w:val="-5"/>
      <w:sz w:val="36"/>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216626"/>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216626"/>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6"/>
      </w:numPr>
    </w:pPr>
  </w:style>
  <w:style w:type="paragraph" w:styleId="ListBullet">
    <w:name w:val="List Bullet"/>
    <w:basedOn w:val="Normal"/>
    <w:uiPriority w:val="2"/>
    <w:qFormat/>
    <w:rsid w:val="005F3204"/>
    <w:pPr>
      <w:numPr>
        <w:numId w:val="5"/>
      </w:numPr>
    </w:pPr>
  </w:style>
  <w:style w:type="paragraph" w:styleId="ListParagraph">
    <w:name w:val="List Paragraph"/>
    <w:basedOn w:val="ListBullet"/>
    <w:uiPriority w:val="34"/>
    <w:qFormat/>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ind w:left="1980" w:hanging="220"/>
    </w:pPr>
  </w:style>
  <w:style w:type="paragraph" w:styleId="Index8">
    <w:name w:val="index 8"/>
    <w:basedOn w:val="Normal"/>
    <w:next w:val="Normal"/>
    <w:uiPriority w:val="9"/>
    <w:semiHidden/>
    <w:locked/>
    <w:rsid w:val="00E12269"/>
    <w:pPr>
      <w:ind w:left="1760" w:hanging="220"/>
    </w:pPr>
  </w:style>
  <w:style w:type="paragraph" w:styleId="Index7">
    <w:name w:val="index 7"/>
    <w:basedOn w:val="Normal"/>
    <w:next w:val="Normal"/>
    <w:uiPriority w:val="9"/>
    <w:semiHidden/>
    <w:locked/>
    <w:rsid w:val="00E12269"/>
    <w:pPr>
      <w:ind w:left="1540" w:hanging="220"/>
    </w:pPr>
  </w:style>
  <w:style w:type="paragraph" w:styleId="Index6">
    <w:name w:val="index 6"/>
    <w:basedOn w:val="Normal"/>
    <w:next w:val="Normal"/>
    <w:uiPriority w:val="9"/>
    <w:semiHidden/>
    <w:locked/>
    <w:rsid w:val="00E12269"/>
    <w:pPr>
      <w:ind w:left="1320" w:hanging="220"/>
    </w:pPr>
  </w:style>
  <w:style w:type="paragraph" w:styleId="Index5">
    <w:name w:val="index 5"/>
    <w:basedOn w:val="Normal"/>
    <w:next w:val="Normal"/>
    <w:uiPriority w:val="9"/>
    <w:semiHidden/>
    <w:locked/>
    <w:rsid w:val="00E12269"/>
    <w:pPr>
      <w:ind w:left="1100" w:hanging="220"/>
    </w:pPr>
  </w:style>
  <w:style w:type="paragraph" w:styleId="Index4">
    <w:name w:val="index 4"/>
    <w:basedOn w:val="Normal"/>
    <w:next w:val="Normal"/>
    <w:uiPriority w:val="9"/>
    <w:semiHidden/>
    <w:locked/>
    <w:rsid w:val="00E12269"/>
    <w:pPr>
      <w:ind w:left="880" w:hanging="220"/>
    </w:pPr>
  </w:style>
  <w:style w:type="paragraph" w:styleId="Index3">
    <w:name w:val="index 3"/>
    <w:basedOn w:val="Normal"/>
    <w:next w:val="Normal"/>
    <w:uiPriority w:val="9"/>
    <w:semiHidden/>
    <w:locked/>
    <w:rsid w:val="00E12269"/>
    <w:pPr>
      <w:ind w:left="660" w:hanging="220"/>
    </w:pPr>
  </w:style>
  <w:style w:type="paragraph" w:styleId="Index2">
    <w:name w:val="index 2"/>
    <w:basedOn w:val="Normal"/>
    <w:next w:val="Normal"/>
    <w:uiPriority w:val="9"/>
    <w:semiHidden/>
    <w:locked/>
    <w:rsid w:val="00E12269"/>
    <w:pPr>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E872CA"/>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F61439"/>
    <w:pPr>
      <w:keepNext/>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4"/>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16626"/>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16626"/>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paragraph" w:styleId="NormalWeb">
    <w:name w:val="Normal (Web)"/>
    <w:basedOn w:val="Normal"/>
    <w:uiPriority w:val="99"/>
    <w:unhideWhenUsed/>
    <w:locked/>
    <w:rsid w:val="00AE6FCB"/>
    <w:pPr>
      <w:spacing w:before="100" w:beforeAutospacing="1" w:after="100" w:afterAutospacing="1"/>
    </w:pPr>
  </w:style>
  <w:style w:type="character" w:styleId="UnresolvedMention">
    <w:name w:val="Unresolved Mention"/>
    <w:basedOn w:val="DefaultParagraphFont"/>
    <w:uiPriority w:val="99"/>
    <w:semiHidden/>
    <w:unhideWhenUsed/>
    <w:rsid w:val="005005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0128">
      <w:bodyDiv w:val="1"/>
      <w:marLeft w:val="0"/>
      <w:marRight w:val="0"/>
      <w:marTop w:val="0"/>
      <w:marBottom w:val="0"/>
      <w:divBdr>
        <w:top w:val="none" w:sz="0" w:space="0" w:color="auto"/>
        <w:left w:val="none" w:sz="0" w:space="0" w:color="auto"/>
        <w:bottom w:val="none" w:sz="0" w:space="0" w:color="auto"/>
        <w:right w:val="none" w:sz="0" w:space="0" w:color="auto"/>
      </w:divBdr>
    </w:div>
    <w:div w:id="47266036">
      <w:bodyDiv w:val="1"/>
      <w:marLeft w:val="0"/>
      <w:marRight w:val="0"/>
      <w:marTop w:val="0"/>
      <w:marBottom w:val="0"/>
      <w:divBdr>
        <w:top w:val="none" w:sz="0" w:space="0" w:color="auto"/>
        <w:left w:val="none" w:sz="0" w:space="0" w:color="auto"/>
        <w:bottom w:val="none" w:sz="0" w:space="0" w:color="auto"/>
        <w:right w:val="none" w:sz="0" w:space="0" w:color="auto"/>
      </w:divBdr>
    </w:div>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199784412">
      <w:bodyDiv w:val="1"/>
      <w:marLeft w:val="0"/>
      <w:marRight w:val="0"/>
      <w:marTop w:val="0"/>
      <w:marBottom w:val="0"/>
      <w:divBdr>
        <w:top w:val="none" w:sz="0" w:space="0" w:color="auto"/>
        <w:left w:val="none" w:sz="0" w:space="0" w:color="auto"/>
        <w:bottom w:val="none" w:sz="0" w:space="0" w:color="auto"/>
        <w:right w:val="none" w:sz="0" w:space="0" w:color="auto"/>
      </w:divBdr>
    </w:div>
    <w:div w:id="268702165">
      <w:bodyDiv w:val="1"/>
      <w:marLeft w:val="0"/>
      <w:marRight w:val="0"/>
      <w:marTop w:val="0"/>
      <w:marBottom w:val="0"/>
      <w:divBdr>
        <w:top w:val="none" w:sz="0" w:space="0" w:color="auto"/>
        <w:left w:val="none" w:sz="0" w:space="0" w:color="auto"/>
        <w:bottom w:val="none" w:sz="0" w:space="0" w:color="auto"/>
        <w:right w:val="none" w:sz="0" w:space="0" w:color="auto"/>
      </w:divBdr>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493303765">
      <w:bodyDiv w:val="1"/>
      <w:marLeft w:val="0"/>
      <w:marRight w:val="0"/>
      <w:marTop w:val="0"/>
      <w:marBottom w:val="0"/>
      <w:divBdr>
        <w:top w:val="none" w:sz="0" w:space="0" w:color="auto"/>
        <w:left w:val="none" w:sz="0" w:space="0" w:color="auto"/>
        <w:bottom w:val="none" w:sz="0" w:space="0" w:color="auto"/>
        <w:right w:val="none" w:sz="0" w:space="0" w:color="auto"/>
      </w:divBdr>
    </w:div>
    <w:div w:id="614214148">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643046790">
      <w:bodyDiv w:val="1"/>
      <w:marLeft w:val="0"/>
      <w:marRight w:val="0"/>
      <w:marTop w:val="0"/>
      <w:marBottom w:val="0"/>
      <w:divBdr>
        <w:top w:val="none" w:sz="0" w:space="0" w:color="auto"/>
        <w:left w:val="none" w:sz="0" w:space="0" w:color="auto"/>
        <w:bottom w:val="none" w:sz="0" w:space="0" w:color="auto"/>
        <w:right w:val="none" w:sz="0" w:space="0" w:color="auto"/>
      </w:divBdr>
    </w:div>
    <w:div w:id="686908707">
      <w:bodyDiv w:val="1"/>
      <w:marLeft w:val="0"/>
      <w:marRight w:val="0"/>
      <w:marTop w:val="0"/>
      <w:marBottom w:val="0"/>
      <w:divBdr>
        <w:top w:val="none" w:sz="0" w:space="0" w:color="auto"/>
        <w:left w:val="none" w:sz="0" w:space="0" w:color="auto"/>
        <w:bottom w:val="none" w:sz="0" w:space="0" w:color="auto"/>
        <w:right w:val="none" w:sz="0" w:space="0" w:color="auto"/>
      </w:divBdr>
    </w:div>
    <w:div w:id="718018771">
      <w:bodyDiv w:val="1"/>
      <w:marLeft w:val="0"/>
      <w:marRight w:val="0"/>
      <w:marTop w:val="0"/>
      <w:marBottom w:val="0"/>
      <w:divBdr>
        <w:top w:val="none" w:sz="0" w:space="0" w:color="auto"/>
        <w:left w:val="none" w:sz="0" w:space="0" w:color="auto"/>
        <w:bottom w:val="none" w:sz="0" w:space="0" w:color="auto"/>
        <w:right w:val="none" w:sz="0" w:space="0" w:color="auto"/>
      </w:divBdr>
    </w:div>
    <w:div w:id="749428553">
      <w:bodyDiv w:val="1"/>
      <w:marLeft w:val="0"/>
      <w:marRight w:val="0"/>
      <w:marTop w:val="0"/>
      <w:marBottom w:val="0"/>
      <w:divBdr>
        <w:top w:val="none" w:sz="0" w:space="0" w:color="auto"/>
        <w:left w:val="none" w:sz="0" w:space="0" w:color="auto"/>
        <w:bottom w:val="none" w:sz="0" w:space="0" w:color="auto"/>
        <w:right w:val="none" w:sz="0" w:space="0" w:color="auto"/>
      </w:divBdr>
    </w:div>
    <w:div w:id="752748125">
      <w:bodyDiv w:val="1"/>
      <w:marLeft w:val="0"/>
      <w:marRight w:val="0"/>
      <w:marTop w:val="0"/>
      <w:marBottom w:val="0"/>
      <w:divBdr>
        <w:top w:val="none" w:sz="0" w:space="0" w:color="auto"/>
        <w:left w:val="none" w:sz="0" w:space="0" w:color="auto"/>
        <w:bottom w:val="none" w:sz="0" w:space="0" w:color="auto"/>
        <w:right w:val="none" w:sz="0" w:space="0" w:color="auto"/>
      </w:divBdr>
    </w:div>
    <w:div w:id="871573475">
      <w:bodyDiv w:val="1"/>
      <w:marLeft w:val="0"/>
      <w:marRight w:val="0"/>
      <w:marTop w:val="0"/>
      <w:marBottom w:val="0"/>
      <w:divBdr>
        <w:top w:val="none" w:sz="0" w:space="0" w:color="auto"/>
        <w:left w:val="none" w:sz="0" w:space="0" w:color="auto"/>
        <w:bottom w:val="none" w:sz="0" w:space="0" w:color="auto"/>
        <w:right w:val="none" w:sz="0" w:space="0" w:color="auto"/>
      </w:divBdr>
    </w:div>
    <w:div w:id="1054235658">
      <w:bodyDiv w:val="1"/>
      <w:marLeft w:val="0"/>
      <w:marRight w:val="0"/>
      <w:marTop w:val="0"/>
      <w:marBottom w:val="0"/>
      <w:divBdr>
        <w:top w:val="none" w:sz="0" w:space="0" w:color="auto"/>
        <w:left w:val="none" w:sz="0" w:space="0" w:color="auto"/>
        <w:bottom w:val="none" w:sz="0" w:space="0" w:color="auto"/>
        <w:right w:val="none" w:sz="0" w:space="0" w:color="auto"/>
      </w:divBdr>
    </w:div>
    <w:div w:id="1065953754">
      <w:bodyDiv w:val="1"/>
      <w:marLeft w:val="0"/>
      <w:marRight w:val="0"/>
      <w:marTop w:val="0"/>
      <w:marBottom w:val="0"/>
      <w:divBdr>
        <w:top w:val="none" w:sz="0" w:space="0" w:color="auto"/>
        <w:left w:val="none" w:sz="0" w:space="0" w:color="auto"/>
        <w:bottom w:val="none" w:sz="0" w:space="0" w:color="auto"/>
        <w:right w:val="none" w:sz="0" w:space="0" w:color="auto"/>
      </w:divBdr>
    </w:div>
    <w:div w:id="1150243978">
      <w:bodyDiv w:val="1"/>
      <w:marLeft w:val="0"/>
      <w:marRight w:val="0"/>
      <w:marTop w:val="0"/>
      <w:marBottom w:val="0"/>
      <w:divBdr>
        <w:top w:val="none" w:sz="0" w:space="0" w:color="auto"/>
        <w:left w:val="none" w:sz="0" w:space="0" w:color="auto"/>
        <w:bottom w:val="none" w:sz="0" w:space="0" w:color="auto"/>
        <w:right w:val="none" w:sz="0" w:space="0" w:color="auto"/>
      </w:divBdr>
    </w:div>
    <w:div w:id="1229726755">
      <w:bodyDiv w:val="1"/>
      <w:marLeft w:val="0"/>
      <w:marRight w:val="0"/>
      <w:marTop w:val="0"/>
      <w:marBottom w:val="0"/>
      <w:divBdr>
        <w:top w:val="none" w:sz="0" w:space="0" w:color="auto"/>
        <w:left w:val="none" w:sz="0" w:space="0" w:color="auto"/>
        <w:bottom w:val="none" w:sz="0" w:space="0" w:color="auto"/>
        <w:right w:val="none" w:sz="0" w:space="0" w:color="auto"/>
      </w:divBdr>
    </w:div>
    <w:div w:id="1280841061">
      <w:bodyDiv w:val="1"/>
      <w:marLeft w:val="0"/>
      <w:marRight w:val="0"/>
      <w:marTop w:val="0"/>
      <w:marBottom w:val="0"/>
      <w:divBdr>
        <w:top w:val="none" w:sz="0" w:space="0" w:color="auto"/>
        <w:left w:val="none" w:sz="0" w:space="0" w:color="auto"/>
        <w:bottom w:val="none" w:sz="0" w:space="0" w:color="auto"/>
        <w:right w:val="none" w:sz="0" w:space="0" w:color="auto"/>
      </w:divBdr>
    </w:div>
    <w:div w:id="1306858474">
      <w:bodyDiv w:val="1"/>
      <w:marLeft w:val="0"/>
      <w:marRight w:val="0"/>
      <w:marTop w:val="0"/>
      <w:marBottom w:val="0"/>
      <w:divBdr>
        <w:top w:val="none" w:sz="0" w:space="0" w:color="auto"/>
        <w:left w:val="none" w:sz="0" w:space="0" w:color="auto"/>
        <w:bottom w:val="none" w:sz="0" w:space="0" w:color="auto"/>
        <w:right w:val="none" w:sz="0" w:space="0" w:color="auto"/>
      </w:divBdr>
    </w:div>
    <w:div w:id="1343122634">
      <w:bodyDiv w:val="1"/>
      <w:marLeft w:val="0"/>
      <w:marRight w:val="0"/>
      <w:marTop w:val="0"/>
      <w:marBottom w:val="0"/>
      <w:divBdr>
        <w:top w:val="none" w:sz="0" w:space="0" w:color="auto"/>
        <w:left w:val="none" w:sz="0" w:space="0" w:color="auto"/>
        <w:bottom w:val="none" w:sz="0" w:space="0" w:color="auto"/>
        <w:right w:val="none" w:sz="0" w:space="0" w:color="auto"/>
      </w:divBdr>
    </w:div>
    <w:div w:id="1352343199">
      <w:bodyDiv w:val="1"/>
      <w:marLeft w:val="0"/>
      <w:marRight w:val="0"/>
      <w:marTop w:val="0"/>
      <w:marBottom w:val="0"/>
      <w:divBdr>
        <w:top w:val="none" w:sz="0" w:space="0" w:color="auto"/>
        <w:left w:val="none" w:sz="0" w:space="0" w:color="auto"/>
        <w:bottom w:val="none" w:sz="0" w:space="0" w:color="auto"/>
        <w:right w:val="none" w:sz="0" w:space="0" w:color="auto"/>
      </w:divBdr>
    </w:div>
    <w:div w:id="1391460480">
      <w:bodyDiv w:val="1"/>
      <w:marLeft w:val="0"/>
      <w:marRight w:val="0"/>
      <w:marTop w:val="0"/>
      <w:marBottom w:val="0"/>
      <w:divBdr>
        <w:top w:val="none" w:sz="0" w:space="0" w:color="auto"/>
        <w:left w:val="none" w:sz="0" w:space="0" w:color="auto"/>
        <w:bottom w:val="none" w:sz="0" w:space="0" w:color="auto"/>
        <w:right w:val="none" w:sz="0" w:space="0" w:color="auto"/>
      </w:divBdr>
    </w:div>
    <w:div w:id="1430736578">
      <w:bodyDiv w:val="1"/>
      <w:marLeft w:val="0"/>
      <w:marRight w:val="0"/>
      <w:marTop w:val="0"/>
      <w:marBottom w:val="0"/>
      <w:divBdr>
        <w:top w:val="none" w:sz="0" w:space="0" w:color="auto"/>
        <w:left w:val="none" w:sz="0" w:space="0" w:color="auto"/>
        <w:bottom w:val="none" w:sz="0" w:space="0" w:color="auto"/>
        <w:right w:val="none" w:sz="0" w:space="0" w:color="auto"/>
      </w:divBdr>
    </w:div>
    <w:div w:id="1485317308">
      <w:bodyDiv w:val="1"/>
      <w:marLeft w:val="0"/>
      <w:marRight w:val="0"/>
      <w:marTop w:val="0"/>
      <w:marBottom w:val="0"/>
      <w:divBdr>
        <w:top w:val="none" w:sz="0" w:space="0" w:color="auto"/>
        <w:left w:val="none" w:sz="0" w:space="0" w:color="auto"/>
        <w:bottom w:val="none" w:sz="0" w:space="0" w:color="auto"/>
        <w:right w:val="none" w:sz="0" w:space="0" w:color="auto"/>
      </w:divBdr>
    </w:div>
    <w:div w:id="1598830205">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48247246">
      <w:bodyDiv w:val="1"/>
      <w:marLeft w:val="0"/>
      <w:marRight w:val="0"/>
      <w:marTop w:val="0"/>
      <w:marBottom w:val="0"/>
      <w:divBdr>
        <w:top w:val="none" w:sz="0" w:space="0" w:color="auto"/>
        <w:left w:val="none" w:sz="0" w:space="0" w:color="auto"/>
        <w:bottom w:val="none" w:sz="0" w:space="0" w:color="auto"/>
        <w:right w:val="none" w:sz="0" w:space="0" w:color="auto"/>
      </w:divBdr>
    </w:div>
    <w:div w:id="1667783688">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730375693">
      <w:bodyDiv w:val="1"/>
      <w:marLeft w:val="0"/>
      <w:marRight w:val="0"/>
      <w:marTop w:val="0"/>
      <w:marBottom w:val="0"/>
      <w:divBdr>
        <w:top w:val="none" w:sz="0" w:space="0" w:color="auto"/>
        <w:left w:val="none" w:sz="0" w:space="0" w:color="auto"/>
        <w:bottom w:val="none" w:sz="0" w:space="0" w:color="auto"/>
        <w:right w:val="none" w:sz="0" w:space="0" w:color="auto"/>
      </w:divBdr>
    </w:div>
    <w:div w:id="1764720520">
      <w:bodyDiv w:val="1"/>
      <w:marLeft w:val="0"/>
      <w:marRight w:val="0"/>
      <w:marTop w:val="0"/>
      <w:marBottom w:val="0"/>
      <w:divBdr>
        <w:top w:val="none" w:sz="0" w:space="0" w:color="auto"/>
        <w:left w:val="none" w:sz="0" w:space="0" w:color="auto"/>
        <w:bottom w:val="none" w:sz="0" w:space="0" w:color="auto"/>
        <w:right w:val="none" w:sz="0" w:space="0" w:color="auto"/>
      </w:divBdr>
    </w:div>
    <w:div w:id="1831483524">
      <w:bodyDiv w:val="1"/>
      <w:marLeft w:val="0"/>
      <w:marRight w:val="0"/>
      <w:marTop w:val="0"/>
      <w:marBottom w:val="0"/>
      <w:divBdr>
        <w:top w:val="none" w:sz="0" w:space="0" w:color="auto"/>
        <w:left w:val="none" w:sz="0" w:space="0" w:color="auto"/>
        <w:bottom w:val="none" w:sz="0" w:space="0" w:color="auto"/>
        <w:right w:val="none" w:sz="0" w:space="0" w:color="auto"/>
      </w:divBdr>
    </w:div>
    <w:div w:id="1847670008">
      <w:bodyDiv w:val="1"/>
      <w:marLeft w:val="0"/>
      <w:marRight w:val="0"/>
      <w:marTop w:val="0"/>
      <w:marBottom w:val="0"/>
      <w:divBdr>
        <w:top w:val="none" w:sz="0" w:space="0" w:color="auto"/>
        <w:left w:val="none" w:sz="0" w:space="0" w:color="auto"/>
        <w:bottom w:val="none" w:sz="0" w:space="0" w:color="auto"/>
        <w:right w:val="none" w:sz="0" w:space="0" w:color="auto"/>
      </w:divBdr>
    </w:div>
    <w:div w:id="1897889415">
      <w:bodyDiv w:val="1"/>
      <w:marLeft w:val="0"/>
      <w:marRight w:val="0"/>
      <w:marTop w:val="0"/>
      <w:marBottom w:val="0"/>
      <w:divBdr>
        <w:top w:val="none" w:sz="0" w:space="0" w:color="auto"/>
        <w:left w:val="none" w:sz="0" w:space="0" w:color="auto"/>
        <w:bottom w:val="none" w:sz="0" w:space="0" w:color="auto"/>
        <w:right w:val="none" w:sz="0" w:space="0" w:color="auto"/>
      </w:divBdr>
    </w:div>
    <w:div w:id="2005237751">
      <w:bodyDiv w:val="1"/>
      <w:marLeft w:val="0"/>
      <w:marRight w:val="0"/>
      <w:marTop w:val="0"/>
      <w:marBottom w:val="0"/>
      <w:divBdr>
        <w:top w:val="none" w:sz="0" w:space="0" w:color="auto"/>
        <w:left w:val="none" w:sz="0" w:space="0" w:color="auto"/>
        <w:bottom w:val="none" w:sz="0" w:space="0" w:color="auto"/>
        <w:right w:val="none" w:sz="0" w:space="0" w:color="auto"/>
      </w:divBdr>
    </w:div>
    <w:div w:id="2014332136">
      <w:bodyDiv w:val="1"/>
      <w:marLeft w:val="0"/>
      <w:marRight w:val="0"/>
      <w:marTop w:val="0"/>
      <w:marBottom w:val="0"/>
      <w:divBdr>
        <w:top w:val="none" w:sz="0" w:space="0" w:color="auto"/>
        <w:left w:val="none" w:sz="0" w:space="0" w:color="auto"/>
        <w:bottom w:val="none" w:sz="0" w:space="0" w:color="auto"/>
        <w:right w:val="none" w:sz="0" w:space="0" w:color="auto"/>
      </w:divBdr>
    </w:div>
    <w:div w:id="2038971033">
      <w:bodyDiv w:val="1"/>
      <w:marLeft w:val="0"/>
      <w:marRight w:val="0"/>
      <w:marTop w:val="0"/>
      <w:marBottom w:val="0"/>
      <w:divBdr>
        <w:top w:val="none" w:sz="0" w:space="0" w:color="auto"/>
        <w:left w:val="none" w:sz="0" w:space="0" w:color="auto"/>
        <w:bottom w:val="none" w:sz="0" w:space="0" w:color="auto"/>
        <w:right w:val="none" w:sz="0" w:space="0" w:color="auto"/>
      </w:divBdr>
    </w:div>
    <w:div w:id="2054037313">
      <w:bodyDiv w:val="1"/>
      <w:marLeft w:val="0"/>
      <w:marRight w:val="0"/>
      <w:marTop w:val="0"/>
      <w:marBottom w:val="0"/>
      <w:divBdr>
        <w:top w:val="none" w:sz="0" w:space="0" w:color="auto"/>
        <w:left w:val="none" w:sz="0" w:space="0" w:color="auto"/>
        <w:bottom w:val="none" w:sz="0" w:space="0" w:color="auto"/>
        <w:right w:val="none" w:sz="0" w:space="0" w:color="auto"/>
      </w:divBdr>
    </w:div>
    <w:div w:id="2090498410">
      <w:bodyDiv w:val="1"/>
      <w:marLeft w:val="0"/>
      <w:marRight w:val="0"/>
      <w:marTop w:val="0"/>
      <w:marBottom w:val="0"/>
      <w:divBdr>
        <w:top w:val="none" w:sz="0" w:space="0" w:color="auto"/>
        <w:left w:val="none" w:sz="0" w:space="0" w:color="auto"/>
        <w:bottom w:val="none" w:sz="0" w:space="0" w:color="auto"/>
        <w:right w:val="none" w:sz="0" w:space="0" w:color="auto"/>
      </w:divBdr>
    </w:div>
    <w:div w:id="2118020847">
      <w:bodyDiv w:val="1"/>
      <w:marLeft w:val="0"/>
      <w:marRight w:val="0"/>
      <w:marTop w:val="0"/>
      <w:marBottom w:val="0"/>
      <w:divBdr>
        <w:top w:val="none" w:sz="0" w:space="0" w:color="auto"/>
        <w:left w:val="none" w:sz="0" w:space="0" w:color="auto"/>
        <w:bottom w:val="none" w:sz="0" w:space="0" w:color="auto"/>
        <w:right w:val="none" w:sz="0" w:space="0" w:color="auto"/>
      </w:divBdr>
    </w:div>
    <w:div w:id="213262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alth.state.mn.us/diseases/flu/hcp/report.html" TargetMode="External"/><Relationship Id="rId18" Type="http://schemas.openxmlformats.org/officeDocument/2006/relationships/hyperlink" Target="https://www.cdc.gov/flu/professionals/antivirals/summary-clinicians.ht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health.state.mn.us/diseases/flu/hcp/vaccine/index.html"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cdc.gov/flu/spotlights/2021-2022/flu-tracking-young-adults.ht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ealth.state.mn.us/diseases/flu/stats/index.html" TargetMode="External"/><Relationship Id="rId20" Type="http://schemas.openxmlformats.org/officeDocument/2006/relationships/hyperlink" Target="https://www.cdc.gov/flu/professionals/infectioncontrol/ltc-facility-guidance.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health.state.mn.us/han" TargetMode="External"/><Relationship Id="rId5" Type="http://schemas.openxmlformats.org/officeDocument/2006/relationships/customXml" Target="../customXml/item5.xml"/><Relationship Id="rId15" Type="http://schemas.openxmlformats.org/officeDocument/2006/relationships/hyperlink" Target="https://emergency.cdc.gov/han/2021/han00458.asp" TargetMode="External"/><Relationship Id="rId23" Type="http://schemas.openxmlformats.org/officeDocument/2006/relationships/hyperlink" Target="http://www.health.state.mn.us/han"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cdc.gov/flu/professionals/diagnosis/index.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mergency.cdc.gov/han/2021/han00458.asp" TargetMode="External"/><Relationship Id="rId22" Type="http://schemas.openxmlformats.org/officeDocument/2006/relationships/hyperlink" Target="https://www.cdc.gov/flu/professionals/diagnosis/guide-virus-diagnostic-tests.htm" TargetMode="External"/><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dat1\appdata\local\microsoft\office\MDH_Templates\Basic%20MDH%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_dlc_DocId xmlns="98f01fe9-c3f2-4582-9148-d87bd0c242e7">PP6VNZTUNPYT-222210944-43</_dlc_DocId>
    <_dlc_DocIdUrl xmlns="98f01fe9-c3f2-4582-9148-d87bd0c242e7">
      <Url>https://mn365.sharepoint.com/teams/MDH/permanent/comm_proj/_layouts/15/DocIdRedir.aspx?ID=PP6VNZTUNPYT-222210944-43</Url>
      <Description>PP6VNZTUNPYT-222210944-43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882B80E85798B498881C0CB36871F5B" ma:contentTypeVersion="77" ma:contentTypeDescription="Create a new document." ma:contentTypeScope="" ma:versionID="81fd33ee760e55ba4dc21f19d71c9ed2">
  <xsd:schema xmlns:xsd="http://www.w3.org/2001/XMLSchema" xmlns:xs="http://www.w3.org/2001/XMLSchema" xmlns:p="http://schemas.microsoft.com/office/2006/metadata/properties" xmlns:ns2="98f01fe9-c3f2-4582-9148-d87bd0c242e7" xmlns:ns3="fc253db8-c1a2-4032-adc2-d3fbd160fc76" xmlns:ns4="8837c207-459e-4c9e-ae67-73e2034e87a2" targetNamespace="http://schemas.microsoft.com/office/2006/metadata/properties" ma:root="true" ma:fieldsID="6f597a13533ab51e3170be8e423a5b5a" ns2:_="" ns3:_="" ns4:_="">
    <xsd:import namespace="98f01fe9-c3f2-4582-9148-d87bd0c242e7"/>
    <xsd:import namespace="fc253db8-c1a2-4032-adc2-d3fbd160fc76"/>
    <xsd:import namespace="8837c207-459e-4c9e-ae67-73e2034e87a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253db8-c1a2-4032-adc2-d3fbd160fc7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37c207-459e-4c9e-ae67-73e2034e87a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2.xml><?xml version="1.0" encoding="utf-8"?>
<ds:datastoreItem xmlns:ds="http://schemas.openxmlformats.org/officeDocument/2006/customXml" ds:itemID="{F415975F-7297-41E7-8795-67CF85062A13}">
  <ds:schemaRefs>
    <ds:schemaRef ds:uri="http://schemas.openxmlformats.org/officeDocument/2006/bibliography"/>
  </ds:schemaRefs>
</ds:datastoreItem>
</file>

<file path=customXml/itemProps3.xml><?xml version="1.0" encoding="utf-8"?>
<ds:datastoreItem xmlns:ds="http://schemas.openxmlformats.org/officeDocument/2006/customXml" ds:itemID="{57BF5A84-D146-4B84-B77D-38529A5E057B}">
  <ds:schemaRefs>
    <ds:schemaRef ds:uri="http://schemas.microsoft.com/office/infopath/2007/PartnerControls"/>
    <ds:schemaRef ds:uri="http://purl.org/dc/dcmitype/"/>
    <ds:schemaRef ds:uri="fc253db8-c1a2-4032-adc2-d3fbd160fc76"/>
    <ds:schemaRef ds:uri="http://purl.org/dc/terms/"/>
    <ds:schemaRef ds:uri="http://schemas.microsoft.com/office/2006/documentManagement/types"/>
    <ds:schemaRef ds:uri="http://schemas.microsoft.com/office/2006/metadata/properties"/>
    <ds:schemaRef ds:uri="http://www.w3.org/XML/1998/namespace"/>
    <ds:schemaRef ds:uri="8837c207-459e-4c9e-ae67-73e2034e87a2"/>
    <ds:schemaRef ds:uri="http://schemas.openxmlformats.org/package/2006/metadata/core-properties"/>
    <ds:schemaRef ds:uri="98f01fe9-c3f2-4582-9148-d87bd0c242e7"/>
    <ds:schemaRef ds:uri="http://purl.org/dc/elements/1.1/"/>
  </ds:schemaRefs>
</ds:datastoreItem>
</file>

<file path=customXml/itemProps4.xml><?xml version="1.0" encoding="utf-8"?>
<ds:datastoreItem xmlns:ds="http://schemas.openxmlformats.org/officeDocument/2006/customXml" ds:itemID="{5F85987D-494A-4DB2-86A6-2BF5F5D0F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01fe9-c3f2-4582-9148-d87bd0c242e7"/>
    <ds:schemaRef ds:uri="fc253db8-c1a2-4032-adc2-d3fbd160fc76"/>
    <ds:schemaRef ds:uri="8837c207-459e-4c9e-ae67-73e2034e8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4F3880-FE54-4AF3-B663-202E00FD396E}">
  <ds:schemaRefs>
    <ds:schemaRef ds:uri="http://schemas.microsoft.com/sharepoint/events"/>
    <ds:schemaRef ds:uri=""/>
  </ds:schemaRefs>
</ds:datastoreItem>
</file>

<file path=docProps/app.xml><?xml version="1.0" encoding="utf-8"?>
<Properties xmlns="http://schemas.openxmlformats.org/officeDocument/2006/extended-properties" xmlns:vt="http://schemas.openxmlformats.org/officeDocument/2006/docPropsVTypes">
  <Template>Basic MDH Document</Template>
  <TotalTime>12</TotalTime>
  <Pages>3</Pages>
  <Words>916</Words>
  <Characters>7236</Characters>
  <Application>Microsoft Office Word</Application>
  <DocSecurity>0</DocSecurity>
  <Lines>147</Lines>
  <Paragraphs>83</Paragraphs>
  <ScaleCrop>false</ScaleCrop>
  <HeadingPairs>
    <vt:vector size="2" baseType="variant">
      <vt:variant>
        <vt:lpstr>Title</vt:lpstr>
      </vt:variant>
      <vt:variant>
        <vt:i4>1</vt:i4>
      </vt:variant>
    </vt:vector>
  </HeadingPairs>
  <TitlesOfParts>
    <vt:vector size="1" baseType="lpstr">
      <vt:lpstr>Health Advisory: Increasing Influenza Activity in College &amp; University Settings</vt:lpstr>
    </vt:vector>
  </TitlesOfParts>
  <Company>State of Minnesota</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Advisory: Increasing Influenza Activity in College &amp; University Settings</dc:title>
  <dc:subject/>
  <dc:creator>MN Dept of Health</dc:creator>
  <cp:keywords/>
  <dc:description/>
  <cp:lastModifiedBy>McAdams, Toby (MDH)</cp:lastModifiedBy>
  <cp:revision>6</cp:revision>
  <cp:lastPrinted>2016-12-14T18:03:00Z</cp:lastPrinted>
  <dcterms:created xsi:type="dcterms:W3CDTF">2021-11-30T18:05:00Z</dcterms:created>
  <dcterms:modified xsi:type="dcterms:W3CDTF">2021-11-30T18:19:00Z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0x010100A882B80E85798B498881C0CB36871F5B</vt:lpwstr>
  </property>
  <property fmtid="{D5CDD505-2E9C-101B-9397-08002B2CF9AE}" pid="3" name="_dlc_DocIdItemGuid">
    <vt:lpwstr>5625e6c6-036d-48bf-b86d-616be68688bd</vt:lpwstr>
  </property>
</Properties>
</file>