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D969663" w14:textId="5CED2FEB" w:rsidR="004E11BF" w:rsidRPr="009F5E4B" w:rsidRDefault="004E11BF" w:rsidP="009F5E4B">
      <w:pPr>
        <w:pStyle w:val="Heading1"/>
        <w:spacing w:before="480"/>
        <w:divId w:val="1897617204"/>
      </w:pPr>
      <w:bookmarkStart w:id="0" w:name="_Hlk122506840"/>
      <w:r w:rsidRPr="009F5E4B">
        <w:t xml:space="preserve">Health Advisory: </w:t>
      </w:r>
      <w:r w:rsidR="007501B0" w:rsidRPr="009F5E4B">
        <w:t>Take-Home Lead Exposure</w:t>
      </w:r>
    </w:p>
    <w:bookmarkEnd w:id="0"/>
    <w:p w14:paraId="1F81D474" w14:textId="2E852873" w:rsidR="004E11BF" w:rsidRPr="009F5E4B" w:rsidRDefault="004E11BF" w:rsidP="009F5E4B">
      <w:pPr>
        <w:divId w:val="1897617204"/>
      </w:pPr>
      <w:r w:rsidRPr="009F5E4B">
        <w:t xml:space="preserve">Minnesota Department of Health, </w:t>
      </w:r>
      <w:r w:rsidR="00847C42">
        <w:t>Fri</w:t>
      </w:r>
      <w:r w:rsidRPr="009F5E4B">
        <w:t xml:space="preserve">, </w:t>
      </w:r>
      <w:r w:rsidR="007501B0" w:rsidRPr="009F5E4B">
        <w:t>Feb</w:t>
      </w:r>
      <w:r w:rsidRPr="009F5E4B">
        <w:t xml:space="preserve"> </w:t>
      </w:r>
      <w:r w:rsidR="00847C42">
        <w:t>10</w:t>
      </w:r>
      <w:r w:rsidR="00F776BB">
        <w:t xml:space="preserve"> 1</w:t>
      </w:r>
      <w:r w:rsidR="00847C42">
        <w:t>1</w:t>
      </w:r>
      <w:r w:rsidR="00F776BB">
        <w:t>:00 CST</w:t>
      </w:r>
      <w:r w:rsidRPr="009F5E4B">
        <w:t xml:space="preserve"> 202</w:t>
      </w:r>
      <w:r w:rsidR="009E4011" w:rsidRPr="009F5E4B">
        <w:t>3</w:t>
      </w:r>
    </w:p>
    <w:p w14:paraId="52C01BB7" w14:textId="77777777" w:rsidR="004E11BF" w:rsidRPr="009F5E4B" w:rsidRDefault="004E11BF" w:rsidP="009F5E4B">
      <w:pPr>
        <w:pStyle w:val="Heading2"/>
        <w:divId w:val="1897617204"/>
      </w:pPr>
      <w:r w:rsidRPr="009F5E4B">
        <w:t>Action Steps</w:t>
      </w:r>
    </w:p>
    <w:p w14:paraId="07414F56" w14:textId="35B37F76" w:rsidR="009F5E4B" w:rsidRDefault="004E11BF" w:rsidP="009F5E4B">
      <w:pPr>
        <w:divId w:val="1897617204"/>
      </w:pPr>
      <w:r w:rsidRPr="009F5E4B">
        <w:rPr>
          <w:rStyle w:val="Emphasis"/>
          <w:b/>
          <w:bCs/>
        </w:rPr>
        <w:t>Local and tribal health department:</w:t>
      </w:r>
      <w:r w:rsidRPr="009F5E4B">
        <w:t xml:space="preserve"> Please forward to hospitals, clinics, urgent care centers, emergency departments, travel clinics, and convenience clinics in your jurisdiction in </w:t>
      </w:r>
      <w:r w:rsidR="007501B0" w:rsidRPr="00F776BB">
        <w:rPr>
          <w:b/>
          <w:bCs/>
        </w:rPr>
        <w:t>Hennepin</w:t>
      </w:r>
      <w:r w:rsidR="007501B0" w:rsidRPr="009F5E4B">
        <w:t xml:space="preserve">, </w:t>
      </w:r>
      <w:r w:rsidR="007501B0" w:rsidRPr="00F776BB">
        <w:rPr>
          <w:b/>
          <w:bCs/>
        </w:rPr>
        <w:t>Ramsey</w:t>
      </w:r>
      <w:r w:rsidR="007501B0" w:rsidRPr="009F5E4B">
        <w:t xml:space="preserve">, </w:t>
      </w:r>
      <w:r w:rsidR="007501B0" w:rsidRPr="00F776BB">
        <w:rPr>
          <w:b/>
          <w:bCs/>
        </w:rPr>
        <w:t>Anoka</w:t>
      </w:r>
      <w:r w:rsidR="007501B0" w:rsidRPr="009F5E4B">
        <w:t xml:space="preserve">, </w:t>
      </w:r>
      <w:r w:rsidR="007501B0" w:rsidRPr="00F776BB">
        <w:rPr>
          <w:b/>
          <w:bCs/>
        </w:rPr>
        <w:t>Sherburne</w:t>
      </w:r>
      <w:r w:rsidR="007501B0" w:rsidRPr="009F5E4B">
        <w:t xml:space="preserve">, </w:t>
      </w:r>
      <w:r w:rsidR="007501B0" w:rsidRPr="00F776BB">
        <w:rPr>
          <w:b/>
          <w:bCs/>
        </w:rPr>
        <w:t>Isanti</w:t>
      </w:r>
      <w:r w:rsidR="007501B0" w:rsidRPr="009F5E4B">
        <w:t xml:space="preserve">, </w:t>
      </w:r>
      <w:r w:rsidR="007501B0" w:rsidRPr="00F776BB">
        <w:rPr>
          <w:b/>
          <w:bCs/>
        </w:rPr>
        <w:t>Chisago</w:t>
      </w:r>
      <w:r w:rsidR="007501B0" w:rsidRPr="009F5E4B">
        <w:t xml:space="preserve">, </w:t>
      </w:r>
      <w:r w:rsidR="007501B0" w:rsidRPr="00F776BB">
        <w:rPr>
          <w:b/>
          <w:bCs/>
        </w:rPr>
        <w:t>Washington</w:t>
      </w:r>
      <w:r w:rsidR="007501B0" w:rsidRPr="009F5E4B">
        <w:t xml:space="preserve">, and </w:t>
      </w:r>
      <w:r w:rsidR="007501B0" w:rsidRPr="00F776BB">
        <w:rPr>
          <w:b/>
          <w:bCs/>
        </w:rPr>
        <w:t>Mille Lacs</w:t>
      </w:r>
      <w:r w:rsidRPr="009F5E4B">
        <w:t xml:space="preserve"> counties.</w:t>
      </w:r>
      <w:r w:rsidR="00E701C1">
        <w:t xml:space="preserve"> (</w:t>
      </w:r>
      <w:r w:rsidR="00E701C1">
        <w:t>FYI to all other jurisdictions, no additional action requested.</w:t>
      </w:r>
      <w:r w:rsidR="00E701C1">
        <w:t>)</w:t>
      </w:r>
    </w:p>
    <w:p w14:paraId="2EF41073" w14:textId="61C2BFB4" w:rsidR="004E11BF" w:rsidRPr="009F5E4B" w:rsidRDefault="004E11BF" w:rsidP="009F5E4B">
      <w:pPr>
        <w:divId w:val="1897617204"/>
      </w:pPr>
      <w:r w:rsidRPr="009F5E4B">
        <w:rPr>
          <w:rStyle w:val="Emphasis"/>
          <w:b/>
          <w:bCs/>
        </w:rPr>
        <w:t>Hospitals, clinics and other facilities</w:t>
      </w:r>
      <w:r w:rsidRPr="009F5E4B">
        <w:t xml:space="preserve">: Please forward to pediatricians, occupational health and employee health leadership, emergency department staff, primary care clinicians, pharmacists, </w:t>
      </w:r>
      <w:r w:rsidR="00DA052F" w:rsidRPr="009F5E4B">
        <w:t xml:space="preserve">nurse practitioners, </w:t>
      </w:r>
      <w:r w:rsidRPr="009F5E4B">
        <w:t xml:space="preserve">and all other health care providers who might see patients </w:t>
      </w:r>
      <w:r w:rsidR="007501B0" w:rsidRPr="009F5E4B">
        <w:t>for primary care or urgent care visits</w:t>
      </w:r>
      <w:r w:rsidRPr="009F5E4B">
        <w:t xml:space="preserve">. </w:t>
      </w:r>
      <w:r w:rsidR="00DA052F" w:rsidRPr="009F5E4B">
        <w:t>Please notify all staff who answer phones or schedule appointments.</w:t>
      </w:r>
    </w:p>
    <w:p w14:paraId="6427E4DD" w14:textId="77777777" w:rsidR="004E11BF" w:rsidRPr="009F5E4B" w:rsidRDefault="004E11BF" w:rsidP="009F5E4B">
      <w:pPr>
        <w:divId w:val="1897617204"/>
        <w:rPr>
          <w:rStyle w:val="Emphasis"/>
          <w:b/>
          <w:bCs/>
        </w:rPr>
      </w:pPr>
      <w:r w:rsidRPr="009F5E4B">
        <w:rPr>
          <w:rStyle w:val="Emphasis"/>
          <w:b/>
          <w:bCs/>
        </w:rPr>
        <w:t>Health care providers:</w:t>
      </w:r>
    </w:p>
    <w:p w14:paraId="62FA1A14" w14:textId="048AC833" w:rsidR="007501B0" w:rsidRPr="009F5E4B" w:rsidRDefault="00A2673D" w:rsidP="009F5E4B">
      <w:pPr>
        <w:pStyle w:val="ListBullet"/>
        <w:divId w:val="1897617204"/>
      </w:pPr>
      <w:r w:rsidRPr="009F5E4B">
        <w:t xml:space="preserve">Offer blood lead testing to any workers of Federal Ammunition’s manufacturing facility </w:t>
      </w:r>
    </w:p>
    <w:p w14:paraId="71948474" w14:textId="174F9490" w:rsidR="00A2673D" w:rsidRPr="009F5E4B" w:rsidRDefault="00A2673D" w:rsidP="009F5E4B">
      <w:pPr>
        <w:pStyle w:val="ListBullet"/>
        <w:divId w:val="1897617204"/>
      </w:pPr>
      <w:r w:rsidRPr="009F5E4B">
        <w:t xml:space="preserve">Offer blood lead testing to </w:t>
      </w:r>
      <w:r w:rsidR="00677218" w:rsidRPr="009F5E4B">
        <w:t>any household members of Federal Ammunition workers who are under age 18 or pregnant</w:t>
      </w:r>
    </w:p>
    <w:p w14:paraId="63031839" w14:textId="3A34E232" w:rsidR="00677218" w:rsidRDefault="00677218" w:rsidP="009F5E4B">
      <w:pPr>
        <w:pStyle w:val="ListBullet"/>
        <w:divId w:val="1897617204"/>
      </w:pPr>
      <w:r w:rsidRPr="009F5E4B">
        <w:t xml:space="preserve">Review current blood lead screening guidelines to ensure ongoing blood lead testing of </w:t>
      </w:r>
      <w:r w:rsidR="009E4011" w:rsidRPr="009F5E4B">
        <w:t xml:space="preserve">all </w:t>
      </w:r>
      <w:r w:rsidRPr="009F5E4B">
        <w:t>children at 1 year and 2 years of age as well</w:t>
      </w:r>
      <w:r>
        <w:t xml:space="preserve"> as older children and pregnant </w:t>
      </w:r>
      <w:r w:rsidR="00B51CFC">
        <w:t>people</w:t>
      </w:r>
      <w:r>
        <w:t xml:space="preserve"> with risk factors for lead exposure</w:t>
      </w:r>
    </w:p>
    <w:p w14:paraId="7DBB8507" w14:textId="1C577A43" w:rsidR="004E11BF" w:rsidRPr="009F5E4B" w:rsidRDefault="004E11BF" w:rsidP="009F5E4B">
      <w:pPr>
        <w:pStyle w:val="Heading2"/>
        <w:divId w:val="1897617204"/>
      </w:pPr>
      <w:r w:rsidRPr="009F5E4B">
        <w:t>Situation</w:t>
      </w:r>
    </w:p>
    <w:p w14:paraId="1DEB4B51" w14:textId="3CC15D6F" w:rsidR="004E11BF" w:rsidRPr="00CB6449" w:rsidRDefault="00CB6449" w:rsidP="009F5E4B">
      <w:pPr>
        <w:divId w:val="1897617204"/>
      </w:pPr>
      <w:r>
        <w:t>The Minnesota Department of Health</w:t>
      </w:r>
      <w:r w:rsidR="0013424F">
        <w:t>, Anoka County, and St. Paul-Ramsey County Public Health identified at least four children with elevated blood levels due to exposure to lead dust that is believed to have been brought home accidentally on the clothing and personal items of family members who work at the Federal Ammunition manufacturing facility</w:t>
      </w:r>
      <w:r w:rsidR="00610987">
        <w:t xml:space="preserve"> in Anoka</w:t>
      </w:r>
      <w:r w:rsidR="0013424F">
        <w:t>.</w:t>
      </w:r>
      <w:r>
        <w:t xml:space="preserve"> </w:t>
      </w:r>
      <w:r w:rsidR="0013424F">
        <w:t>Many individuals with elevated blood lead levels do not exhibit overt clinical signs at the time of diagnosis. Therefore, it is imperative for health care providers to participate in a robust screening program to identify lead exposures.</w:t>
      </w:r>
    </w:p>
    <w:p w14:paraId="66B519F2" w14:textId="77777777" w:rsidR="004E11BF" w:rsidRPr="009F5E4B" w:rsidRDefault="004E11BF" w:rsidP="009F5E4B">
      <w:pPr>
        <w:pStyle w:val="Heading2"/>
        <w:divId w:val="1897617204"/>
      </w:pPr>
      <w:r w:rsidRPr="009F5E4B">
        <w:t>Testing</w:t>
      </w:r>
    </w:p>
    <w:p w14:paraId="4CB1499B" w14:textId="43FE8A27" w:rsidR="004E11BF" w:rsidRPr="009F5E4B" w:rsidRDefault="004E11BF" w:rsidP="009F5E4B">
      <w:pPr>
        <w:divId w:val="1897617204"/>
      </w:pPr>
      <w:r w:rsidRPr="009F5E4B">
        <w:t xml:space="preserve">Test </w:t>
      </w:r>
      <w:r w:rsidR="00610987" w:rsidRPr="009F5E4B">
        <w:t xml:space="preserve">all patients for lead at </w:t>
      </w:r>
      <w:r w:rsidR="00CB6449" w:rsidRPr="009F5E4B">
        <w:t xml:space="preserve">1 </w:t>
      </w:r>
      <w:r w:rsidR="00610987" w:rsidRPr="009F5E4B">
        <w:t>year and 2 years of age, regardless of perceived risk factors for lead</w:t>
      </w:r>
      <w:r w:rsidRPr="009F5E4B">
        <w:t>.</w:t>
      </w:r>
      <w:r w:rsidR="00610987" w:rsidRPr="009F5E4B">
        <w:t xml:space="preserve"> Test older children and pregnant </w:t>
      </w:r>
      <w:r w:rsidR="00B51CFC" w:rsidRPr="009F5E4B">
        <w:t>people</w:t>
      </w:r>
      <w:r w:rsidR="00610987" w:rsidRPr="009F5E4B">
        <w:t xml:space="preserve"> for lead if they have at least one risk factor</w:t>
      </w:r>
      <w:r w:rsidR="009E4011" w:rsidRPr="009F5E4B">
        <w:t>, such as</w:t>
      </w:r>
      <w:r w:rsidR="00610987" w:rsidRPr="009F5E4B">
        <w:t xml:space="preserve"> living with someone with occupational exposure to lead, </w:t>
      </w:r>
      <w:r w:rsidR="009E4011" w:rsidRPr="009F5E4B">
        <w:t>including</w:t>
      </w:r>
      <w:r w:rsidR="00610987" w:rsidRPr="009F5E4B">
        <w:t xml:space="preserve"> those who work at the Federal Ammunition’s manufacturing facility. Test any workers of Federal Ammunition’s manufacturing facility for lead if they express concern about occupational lead exposure and have not received occupational exposure through their employer. Screening tests for lead can be performed using capillary or venous samples. Elevated capillary blood lead tests must be follow</w:t>
      </w:r>
      <w:r w:rsidR="0008399C" w:rsidRPr="009F5E4B">
        <w:t>ed</w:t>
      </w:r>
      <w:r w:rsidR="00610987" w:rsidRPr="009F5E4B">
        <w:t>-up with a test on a venous sample.</w:t>
      </w:r>
    </w:p>
    <w:p w14:paraId="4861A057" w14:textId="77777777" w:rsidR="004E11BF" w:rsidRDefault="004E11BF" w:rsidP="009F5E4B">
      <w:pPr>
        <w:pStyle w:val="Heading2"/>
        <w:divId w:val="1897617204"/>
      </w:pPr>
      <w:r>
        <w:t>For More Information</w:t>
      </w:r>
    </w:p>
    <w:p w14:paraId="64510C0F" w14:textId="2CDF7D39" w:rsidR="004E11BF" w:rsidRPr="009F5E4B" w:rsidRDefault="00000000" w:rsidP="009F5E4B">
      <w:pPr>
        <w:pStyle w:val="ListBullet"/>
        <w:divId w:val="1897617204"/>
      </w:pPr>
      <w:hyperlink r:id="rId12" w:anchor="screening" w:history="1">
        <w:r w:rsidR="009F5E4B">
          <w:rPr>
            <w:rStyle w:val="Hyperlink"/>
          </w:rPr>
          <w:t>MDH: Blood Lead Screening Guidelines for Minnesota (www.health.state.mn.us/communities/environment/lead/prof/guidelines.html#screening)</w:t>
        </w:r>
      </w:hyperlink>
    </w:p>
    <w:p w14:paraId="1BA04CAA" w14:textId="1EF37480" w:rsidR="009F5E4B" w:rsidRDefault="004E11BF" w:rsidP="009F5E4B">
      <w:pPr>
        <w:pStyle w:val="NormalWeb"/>
        <w:divId w:val="1897617204"/>
      </w:pPr>
      <w:r>
        <w:t xml:space="preserve">A copy of this HAN is available at: </w:t>
      </w:r>
      <w:hyperlink r:id="rId13" w:history="1">
        <w:r w:rsidR="009F5E4B">
          <w:rPr>
            <w:rStyle w:val="Hyperlink"/>
          </w:rPr>
          <w:t>MDH Health Alert Network (www.health.state.mn.us/han)</w:t>
        </w:r>
      </w:hyperlink>
    </w:p>
    <w:p w14:paraId="6016B612" w14:textId="5770C0C6" w:rsidR="00A31EA9" w:rsidRPr="004E11BF" w:rsidRDefault="004E11BF" w:rsidP="009F5E4B">
      <w:pPr>
        <w:pStyle w:val="NormalWeb"/>
        <w:divId w:val="1897617204"/>
        <w:rPr>
          <w:rFonts w:eastAsiaTheme="minorEastAsia"/>
        </w:rPr>
      </w:pPr>
      <w:r>
        <w:t>The content of this message is intended for public health and health care personnel and response partners who have a need to know the information to perform their duties.</w:t>
      </w:r>
    </w:p>
    <w:sectPr w:rsidR="00A31EA9" w:rsidRPr="004E11BF" w:rsidSect="00F61439">
      <w:headerReference w:type="default" r:id="rId14"/>
      <w:footerReference w:type="defaul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BCD3" w14:textId="77777777" w:rsidR="00E21DBA" w:rsidRDefault="00E21DBA" w:rsidP="009F5E4B">
      <w:r>
        <w:separator/>
      </w:r>
    </w:p>
  </w:endnote>
  <w:endnote w:type="continuationSeparator" w:id="0">
    <w:p w14:paraId="28C5DBF4" w14:textId="77777777" w:rsidR="00E21DBA" w:rsidRDefault="00E21DBA" w:rsidP="009F5E4B">
      <w:r>
        <w:continuationSeparator/>
      </w:r>
    </w:p>
  </w:endnote>
  <w:endnote w:type="continuationNotice" w:id="1">
    <w:p w14:paraId="4A8C4FBD" w14:textId="77777777" w:rsidR="00E21DBA" w:rsidRDefault="00E21DBA" w:rsidP="009F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14797D17" w14:textId="24C9A803" w:rsidR="000F7548" w:rsidRDefault="000F7548" w:rsidP="009F5E4B">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1057" w14:textId="77777777" w:rsidR="00E21DBA" w:rsidRDefault="00E21DBA" w:rsidP="009F5E4B">
      <w:r>
        <w:separator/>
      </w:r>
    </w:p>
  </w:footnote>
  <w:footnote w:type="continuationSeparator" w:id="0">
    <w:p w14:paraId="4273B81E" w14:textId="77777777" w:rsidR="00E21DBA" w:rsidRDefault="00E21DBA" w:rsidP="009F5E4B">
      <w:r>
        <w:continuationSeparator/>
      </w:r>
    </w:p>
  </w:footnote>
  <w:footnote w:type="continuationNotice" w:id="1">
    <w:p w14:paraId="66A6FAED" w14:textId="77777777" w:rsidR="00E21DBA" w:rsidRDefault="00E21DBA" w:rsidP="009F5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5DDF967" w:rsidR="00782710" w:rsidRPr="004E11BF" w:rsidRDefault="004E11BF" w:rsidP="009F5E4B">
    <w:pPr>
      <w:pStyle w:val="Header"/>
    </w:pPr>
    <w:r w:rsidRPr="004E11BF">
      <w:t>Health Advisory: Legionnaires’ Disease in Duluth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12DC2DA6"/>
    <w:multiLevelType w:val="multilevel"/>
    <w:tmpl w:val="F94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3B7"/>
    <w:multiLevelType w:val="multilevel"/>
    <w:tmpl w:val="88B4C196"/>
    <w:numStyleLink w:val="Listbullets"/>
  </w:abstractNum>
  <w:abstractNum w:abstractNumId="5" w15:restartNumberingAfterBreak="0">
    <w:nsid w:val="34347AE8"/>
    <w:multiLevelType w:val="multilevel"/>
    <w:tmpl w:val="DFB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47B"/>
    <w:multiLevelType w:val="multilevel"/>
    <w:tmpl w:val="2A8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93204B9"/>
    <w:multiLevelType w:val="multilevel"/>
    <w:tmpl w:val="9E7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43A716D"/>
    <w:multiLevelType w:val="multilevel"/>
    <w:tmpl w:val="87A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93D9A"/>
    <w:multiLevelType w:val="multilevel"/>
    <w:tmpl w:val="F3F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A1174"/>
    <w:multiLevelType w:val="multilevel"/>
    <w:tmpl w:val="8A7A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A0D96"/>
    <w:multiLevelType w:val="multilevel"/>
    <w:tmpl w:val="CE9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34395"/>
    <w:multiLevelType w:val="multilevel"/>
    <w:tmpl w:val="D0F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03DB6"/>
    <w:multiLevelType w:val="multilevel"/>
    <w:tmpl w:val="554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D05D4"/>
    <w:multiLevelType w:val="multilevel"/>
    <w:tmpl w:val="9ACA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F532C"/>
    <w:multiLevelType w:val="hybridMultilevel"/>
    <w:tmpl w:val="FD0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22827"/>
    <w:multiLevelType w:val="multilevel"/>
    <w:tmpl w:val="16E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2394C"/>
    <w:multiLevelType w:val="multilevel"/>
    <w:tmpl w:val="9F5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66EBD"/>
    <w:multiLevelType w:val="multilevel"/>
    <w:tmpl w:val="0B0A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854083">
    <w:abstractNumId w:val="1"/>
  </w:num>
  <w:num w:numId="2" w16cid:durableId="222716802">
    <w:abstractNumId w:val="0"/>
  </w:num>
  <w:num w:numId="3" w16cid:durableId="623778218">
    <w:abstractNumId w:val="7"/>
  </w:num>
  <w:num w:numId="4" w16cid:durableId="1420443129">
    <w:abstractNumId w:val="2"/>
  </w:num>
  <w:num w:numId="5" w16cid:durableId="1092581001">
    <w:abstractNumId w:val="4"/>
  </w:num>
  <w:num w:numId="6" w16cid:durableId="805968462">
    <w:abstractNumId w:val="9"/>
  </w:num>
  <w:num w:numId="7" w16cid:durableId="1900164749">
    <w:abstractNumId w:val="3"/>
  </w:num>
  <w:num w:numId="8" w16cid:durableId="921062790">
    <w:abstractNumId w:val="5"/>
  </w:num>
  <w:num w:numId="9" w16cid:durableId="636759062">
    <w:abstractNumId w:val="6"/>
  </w:num>
  <w:num w:numId="10" w16cid:durableId="793983684">
    <w:abstractNumId w:val="19"/>
  </w:num>
  <w:num w:numId="11" w16cid:durableId="206723143">
    <w:abstractNumId w:val="16"/>
  </w:num>
  <w:num w:numId="12" w16cid:durableId="1760756727">
    <w:abstractNumId w:val="8"/>
  </w:num>
  <w:num w:numId="13" w16cid:durableId="199632925">
    <w:abstractNumId w:val="14"/>
  </w:num>
  <w:num w:numId="14" w16cid:durableId="141699889">
    <w:abstractNumId w:val="10"/>
  </w:num>
  <w:num w:numId="15" w16cid:durableId="601768533">
    <w:abstractNumId w:val="15"/>
  </w:num>
  <w:num w:numId="16" w16cid:durableId="575937467">
    <w:abstractNumId w:val="12"/>
  </w:num>
  <w:num w:numId="17" w16cid:durableId="1116870099">
    <w:abstractNumId w:val="13"/>
  </w:num>
  <w:num w:numId="18" w16cid:durableId="1103645043">
    <w:abstractNumId w:val="11"/>
  </w:num>
  <w:num w:numId="19" w16cid:durableId="1433285488">
    <w:abstractNumId w:val="20"/>
  </w:num>
  <w:num w:numId="20" w16cid:durableId="1271430904">
    <w:abstractNumId w:val="18"/>
  </w:num>
  <w:num w:numId="21" w16cid:durableId="11162957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99C"/>
    <w:rsid w:val="00083ED4"/>
    <w:rsid w:val="00084078"/>
    <w:rsid w:val="000845A8"/>
    <w:rsid w:val="000847C2"/>
    <w:rsid w:val="00084F5D"/>
    <w:rsid w:val="000866F6"/>
    <w:rsid w:val="00086D73"/>
    <w:rsid w:val="0008769C"/>
    <w:rsid w:val="00087A1F"/>
    <w:rsid w:val="000906EA"/>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34B"/>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424F"/>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7B2C"/>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24E2"/>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477A9"/>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0A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8EB"/>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307"/>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11BF"/>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4C19"/>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987"/>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5EB9"/>
    <w:rsid w:val="00676A67"/>
    <w:rsid w:val="00677218"/>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1B0"/>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5433"/>
    <w:rsid w:val="007E63EA"/>
    <w:rsid w:val="007E643C"/>
    <w:rsid w:val="007E67E5"/>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47C42"/>
    <w:rsid w:val="008529CC"/>
    <w:rsid w:val="008531CA"/>
    <w:rsid w:val="00853AD4"/>
    <w:rsid w:val="008541ED"/>
    <w:rsid w:val="008545C9"/>
    <w:rsid w:val="00855393"/>
    <w:rsid w:val="008558C6"/>
    <w:rsid w:val="00855A83"/>
    <w:rsid w:val="00856DBC"/>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D21"/>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7E1"/>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305"/>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011"/>
    <w:rsid w:val="009E415E"/>
    <w:rsid w:val="009E4C3F"/>
    <w:rsid w:val="009E517C"/>
    <w:rsid w:val="009E51F7"/>
    <w:rsid w:val="009E5266"/>
    <w:rsid w:val="009E5C88"/>
    <w:rsid w:val="009E68CE"/>
    <w:rsid w:val="009E73E5"/>
    <w:rsid w:val="009E7B01"/>
    <w:rsid w:val="009F09CF"/>
    <w:rsid w:val="009F1425"/>
    <w:rsid w:val="009F1609"/>
    <w:rsid w:val="009F18AC"/>
    <w:rsid w:val="009F24FB"/>
    <w:rsid w:val="009F32F4"/>
    <w:rsid w:val="009F3697"/>
    <w:rsid w:val="009F36FB"/>
    <w:rsid w:val="009F430E"/>
    <w:rsid w:val="009F43F7"/>
    <w:rsid w:val="009F4843"/>
    <w:rsid w:val="009F5C64"/>
    <w:rsid w:val="009F5E4B"/>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673D"/>
    <w:rsid w:val="00A27516"/>
    <w:rsid w:val="00A27624"/>
    <w:rsid w:val="00A313E1"/>
    <w:rsid w:val="00A3148A"/>
    <w:rsid w:val="00A3191B"/>
    <w:rsid w:val="00A31EA9"/>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1CF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97A50"/>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ED9"/>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651"/>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6016"/>
    <w:rsid w:val="00CB6449"/>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70A"/>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052F"/>
    <w:rsid w:val="00DA107C"/>
    <w:rsid w:val="00DA193D"/>
    <w:rsid w:val="00DA20CB"/>
    <w:rsid w:val="00DA21DA"/>
    <w:rsid w:val="00DA24D3"/>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DBA"/>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1C1"/>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DB4"/>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0B1B"/>
    <w:rsid w:val="00F714A9"/>
    <w:rsid w:val="00F71F8F"/>
    <w:rsid w:val="00F736A6"/>
    <w:rsid w:val="00F74A5B"/>
    <w:rsid w:val="00F75310"/>
    <w:rsid w:val="00F776BB"/>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E4B"/>
    <w:pPr>
      <w:spacing w:before="120" w:after="120"/>
    </w:pPr>
    <w:rPr>
      <w:rFonts w:asciiTheme="minorHAnsi" w:eastAsiaTheme="minorHAnsi" w:hAnsi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9F5E4B"/>
    <w:pPr>
      <w:suppressAutoHyphens/>
      <w:spacing w:before="240" w:after="12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9F5E4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9F5E4B"/>
    <w:pPr>
      <w:tabs>
        <w:tab w:val="center" w:pos="4680"/>
        <w:tab w:val="right" w:pos="9360"/>
      </w:tabs>
      <w:spacing w:before="0" w:after="0"/>
      <w:jc w:val="center"/>
    </w:pPr>
    <w:rPr>
      <w:sz w:val="20"/>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Normal"/>
    <w:uiPriority w:val="4"/>
    <w:qFormat/>
    <w:locked/>
    <w:rsid w:val="009F5E4B"/>
    <w:pPr>
      <w:ind w:left="720"/>
      <w:contextualSpacing/>
    </w:pPr>
  </w:style>
  <w:style w:type="character" w:customStyle="1" w:styleId="FooterChar">
    <w:name w:val="Footer Char"/>
    <w:basedOn w:val="DefaultParagraphFont"/>
    <w:link w:val="Footer"/>
    <w:uiPriority w:val="99"/>
    <w:rsid w:val="009F5E4B"/>
    <w:rPr>
      <w:rFonts w:asciiTheme="minorHAnsi" w:eastAsiaTheme="minorHAnsi" w:hAnsiTheme="minorHAnsi" w:cs="Times New Roman"/>
      <w:sz w:val="20"/>
      <w:szCs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Subject">
    <w:name w:val="annotation subject"/>
    <w:basedOn w:val="Normal"/>
    <w:next w:val="Normal"/>
    <w:link w:val="CommentSubjectChar"/>
    <w:semiHidden/>
    <w:unhideWhenUsed/>
    <w:locked/>
    <w:rsid w:val="009F5E4B"/>
    <w:rPr>
      <w:b/>
      <w:bCs/>
    </w:rPr>
  </w:style>
  <w:style w:type="character" w:customStyle="1" w:styleId="CommentSubjectChar">
    <w:name w:val="Comment Subject Char"/>
    <w:basedOn w:val="DefaultParagraphFont"/>
    <w:link w:val="CommentSubject"/>
    <w:semiHidden/>
    <w:rsid w:val="009F5E4B"/>
    <w:rPr>
      <w:rFonts w:asciiTheme="minorHAnsi" w:eastAsiaTheme="minorHAnsi"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sChild>
            <w:div w:id="969475877">
              <w:marLeft w:val="0"/>
              <w:marRight w:val="0"/>
              <w:marTop w:val="0"/>
              <w:marBottom w:val="0"/>
              <w:divBdr>
                <w:top w:val="none" w:sz="0" w:space="0" w:color="auto"/>
                <w:left w:val="none" w:sz="0" w:space="0" w:color="auto"/>
                <w:bottom w:val="none" w:sz="0" w:space="0" w:color="auto"/>
                <w:right w:val="none" w:sz="0" w:space="0" w:color="auto"/>
              </w:divBdr>
              <w:divsChild>
                <w:div w:id="1468888644">
                  <w:marLeft w:val="0"/>
                  <w:marRight w:val="0"/>
                  <w:marTop w:val="0"/>
                  <w:marBottom w:val="0"/>
                  <w:divBdr>
                    <w:top w:val="none" w:sz="0" w:space="0" w:color="auto"/>
                    <w:left w:val="none" w:sz="0" w:space="0" w:color="auto"/>
                    <w:bottom w:val="none" w:sz="0" w:space="0" w:color="auto"/>
                    <w:right w:val="none" w:sz="0" w:space="0" w:color="auto"/>
                  </w:divBdr>
                  <w:divsChild>
                    <w:div w:id="68502450">
                      <w:marLeft w:val="0"/>
                      <w:marRight w:val="0"/>
                      <w:marTop w:val="0"/>
                      <w:marBottom w:val="0"/>
                      <w:divBdr>
                        <w:top w:val="none" w:sz="0" w:space="0" w:color="auto"/>
                        <w:left w:val="none" w:sz="0" w:space="0" w:color="auto"/>
                        <w:bottom w:val="none" w:sz="0" w:space="0" w:color="auto"/>
                        <w:right w:val="none" w:sz="0" w:space="0" w:color="auto"/>
                      </w:divBdr>
                      <w:divsChild>
                        <w:div w:id="1944650557">
                          <w:marLeft w:val="0"/>
                          <w:marRight w:val="0"/>
                          <w:marTop w:val="0"/>
                          <w:marBottom w:val="0"/>
                          <w:divBdr>
                            <w:top w:val="none" w:sz="0" w:space="0" w:color="auto"/>
                            <w:left w:val="none" w:sz="0" w:space="0" w:color="auto"/>
                            <w:bottom w:val="none" w:sz="0" w:space="0" w:color="auto"/>
                            <w:right w:val="none" w:sz="0" w:space="0" w:color="auto"/>
                          </w:divBdr>
                          <w:divsChild>
                            <w:div w:id="1398938000">
                              <w:marLeft w:val="0"/>
                              <w:marRight w:val="0"/>
                              <w:marTop w:val="0"/>
                              <w:marBottom w:val="0"/>
                              <w:divBdr>
                                <w:top w:val="none" w:sz="0" w:space="0" w:color="auto"/>
                                <w:left w:val="none" w:sz="0" w:space="0" w:color="auto"/>
                                <w:bottom w:val="none" w:sz="0" w:space="0" w:color="auto"/>
                                <w:right w:val="none" w:sz="0" w:space="0" w:color="auto"/>
                              </w:divBdr>
                              <w:divsChild>
                                <w:div w:id="18976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h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state.mn.us/communities/environment/lead/prof/guidelin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3</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Advisory: Legionnaires’ Disease in Duluth Area</vt:lpstr>
    </vt:vector>
  </TitlesOfParts>
  <Company>State of Minnesota</Company>
  <LinksUpToDate>false</LinksUpToDate>
  <CharactersWithSpaces>3153</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Take-Home Lead Exposure</dc:title>
  <dc:subject>Health Advisory: Take-Home Lead Exposure</dc:subject>
  <dc:creator>MN Dept of Health</dc:creator>
  <cp:keywords/>
  <dc:description/>
  <cp:lastModifiedBy>VanBergen, Christine (MDH)</cp:lastModifiedBy>
  <cp:revision>3</cp:revision>
  <cp:lastPrinted>2016-12-14T18:03:00Z</cp:lastPrinted>
  <dcterms:created xsi:type="dcterms:W3CDTF">2023-02-10T16:01:00Z</dcterms:created>
  <dcterms:modified xsi:type="dcterms:W3CDTF">2023-02-10T16:04:00Z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