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CBA" w:rsidRDefault="002F1E38" w:rsidP="00FE4E7E">
      <w:pPr>
        <w:rPr>
          <w:rFonts w:ascii="Arial" w:hAnsi="Arial" w:cs="Arial"/>
          <w:sz w:val="20"/>
          <w:szCs w:val="20"/>
        </w:rPr>
      </w:pPr>
      <w:bookmarkStart w:id="0" w:name="_Toc399763633"/>
      <w:r w:rsidRPr="00A14DAD">
        <w:rPr>
          <w:noProof/>
        </w:rPr>
        <mc:AlternateContent>
          <mc:Choice Requires="wps">
            <w:drawing>
              <wp:anchor distT="0" distB="0" distL="114300" distR="114300" simplePos="0" relativeHeight="251658752" behindDoc="0" locked="0" layoutInCell="1" allowOverlap="1" wp14:anchorId="7212C67B" wp14:editId="55554056">
                <wp:simplePos x="0" y="0"/>
                <wp:positionH relativeFrom="column">
                  <wp:posOffset>-914400</wp:posOffset>
                </wp:positionH>
                <wp:positionV relativeFrom="paragraph">
                  <wp:posOffset>-542925</wp:posOffset>
                </wp:positionV>
                <wp:extent cx="6038850" cy="504825"/>
                <wp:effectExtent l="0" t="0" r="0" b="9525"/>
                <wp:wrapNone/>
                <wp:docPr id="41" name="Rectangle 41"/>
                <wp:cNvGraphicFramePr/>
                <a:graphic xmlns:a="http://schemas.openxmlformats.org/drawingml/2006/main">
                  <a:graphicData uri="http://schemas.microsoft.com/office/word/2010/wordprocessingShape">
                    <wps:wsp>
                      <wps:cNvSpPr/>
                      <wps:spPr>
                        <a:xfrm>
                          <a:off x="0" y="0"/>
                          <a:ext cx="6038850" cy="504825"/>
                        </a:xfrm>
                        <a:prstGeom prst="rect">
                          <a:avLst/>
                        </a:prstGeom>
                        <a:solidFill>
                          <a:srgbClr val="4BACC6">
                            <a:lumMod val="40000"/>
                            <a:lumOff val="60000"/>
                          </a:srgbClr>
                        </a:solidFill>
                        <a:ln w="25400" cap="flat" cmpd="sng" algn="ctr">
                          <a:noFill/>
                          <a:prstDash val="solid"/>
                        </a:ln>
                        <a:effectLst/>
                      </wps:spPr>
                      <wps:txbx>
                        <w:txbxContent>
                          <w:p w:rsidR="002F1E38" w:rsidRPr="002F1E38" w:rsidRDefault="002F1E38" w:rsidP="002F1E38">
                            <w:pPr>
                              <w:jc w:val="right"/>
                              <w:rPr>
                                <w:rFonts w:ascii="High Tower Text" w:eastAsiaTheme="majorEastAsia" w:hAnsi="High Tower Text" w:cstheme="majorBidi"/>
                                <w:color w:val="365F91" w:themeColor="accent1" w:themeShade="BF"/>
                              </w:rPr>
                            </w:pPr>
                            <w:r>
                              <w:rPr>
                                <w:rFonts w:ascii="High Tower Text" w:eastAsiaTheme="majorEastAsia" w:hAnsi="High Tower Text" w:cstheme="majorBidi"/>
                                <w:color w:val="365F91" w:themeColor="accent1" w:themeShade="BF"/>
                              </w:rPr>
                              <w:t>Appendix J</w:t>
                            </w:r>
                            <w:r w:rsidRPr="002F1E38">
                              <w:rPr>
                                <w:rFonts w:ascii="High Tower Text" w:eastAsiaTheme="majorEastAsia" w:hAnsi="High Tower Text" w:cstheme="majorBidi"/>
                                <w:color w:val="365F91" w:themeColor="accent1" w:themeShade="BF"/>
                              </w:rPr>
                              <w:t xml:space="preserve">: Tips for Applying CDC’s Infection </w:t>
                            </w:r>
                            <w:r>
                              <w:rPr>
                                <w:rFonts w:ascii="High Tower Text" w:eastAsiaTheme="majorEastAsia" w:hAnsi="High Tower Text" w:cstheme="majorBidi"/>
                                <w:color w:val="365F91" w:themeColor="accent1" w:themeShade="BF"/>
                              </w:rPr>
                              <w:br/>
                            </w:r>
                            <w:r w:rsidRPr="002F1E38">
                              <w:rPr>
                                <w:rFonts w:ascii="High Tower Text" w:eastAsiaTheme="majorEastAsia" w:hAnsi="High Tower Text" w:cstheme="majorBidi"/>
                                <w:color w:val="365F91" w:themeColor="accent1" w:themeShade="BF"/>
                              </w:rPr>
                              <w:t>Surveillance</w:t>
                            </w:r>
                            <w:r>
                              <w:rPr>
                                <w:rFonts w:ascii="High Tower Text" w:eastAsiaTheme="majorEastAsia" w:hAnsi="High Tower Text" w:cstheme="majorBidi"/>
                                <w:color w:val="365F91" w:themeColor="accent1" w:themeShade="BF"/>
                              </w:rPr>
                              <w:t xml:space="preserve"> </w:t>
                            </w:r>
                            <w:r w:rsidRPr="002F1E38">
                              <w:rPr>
                                <w:rFonts w:ascii="High Tower Text" w:eastAsiaTheme="majorEastAsia" w:hAnsi="High Tower Text" w:cstheme="majorBidi"/>
                                <w:color w:val="365F91" w:themeColor="accent1" w:themeShade="BF"/>
                              </w:rPr>
                              <w:t xml:space="preserve">Guidance in Long-term Care Facilities </w:t>
                            </w:r>
                          </w:p>
                          <w:p w:rsidR="002F1E38" w:rsidRPr="00A14DAD" w:rsidRDefault="002F1E38" w:rsidP="002F1E38">
                            <w:pPr>
                              <w:pStyle w:val="Heading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2C67B" id="Rectangle 41" o:spid="_x0000_s1026" style="position:absolute;margin-left:-1in;margin-top:-42.75pt;width:475.5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" fillcolor="#b7dee8" stroked="f" strokeweight="2pt">
                <v:textbox>
                  <w:txbxContent>
                    <w:p w:rsidR="002F1E38" w:rsidRPr="002F1E38" w:rsidRDefault="002F1E38" w:rsidP="002F1E38">
                      <w:pPr>
                        <w:jc w:val="right"/>
                        <w:rPr>
                          <w:rFonts w:ascii="High Tower Text" w:eastAsiaTheme="majorEastAsia" w:hAnsi="High Tower Text" w:cstheme="majorBidi"/>
                          <w:color w:val="365F91" w:themeColor="accent1" w:themeShade="BF"/>
                        </w:rPr>
                      </w:pPr>
                      <w:r>
                        <w:rPr>
                          <w:rFonts w:ascii="High Tower Text" w:eastAsiaTheme="majorEastAsia" w:hAnsi="High Tower Text" w:cstheme="majorBidi"/>
                          <w:color w:val="365F91" w:themeColor="accent1" w:themeShade="BF"/>
                        </w:rPr>
                        <w:t>Appendix J</w:t>
                      </w:r>
                      <w:r w:rsidRPr="002F1E38">
                        <w:rPr>
                          <w:rFonts w:ascii="High Tower Text" w:eastAsiaTheme="majorEastAsia" w:hAnsi="High Tower Text" w:cstheme="majorBidi"/>
                          <w:color w:val="365F91" w:themeColor="accent1" w:themeShade="BF"/>
                        </w:rPr>
                        <w:t xml:space="preserve">: Tips for Applying CDC’s Infection </w:t>
                      </w:r>
                      <w:r>
                        <w:rPr>
                          <w:rFonts w:ascii="High Tower Text" w:eastAsiaTheme="majorEastAsia" w:hAnsi="High Tower Text" w:cstheme="majorBidi"/>
                          <w:color w:val="365F91" w:themeColor="accent1" w:themeShade="BF"/>
                        </w:rPr>
                        <w:br/>
                      </w:r>
                      <w:r w:rsidRPr="002F1E38">
                        <w:rPr>
                          <w:rFonts w:ascii="High Tower Text" w:eastAsiaTheme="majorEastAsia" w:hAnsi="High Tower Text" w:cstheme="majorBidi"/>
                          <w:color w:val="365F91" w:themeColor="accent1" w:themeShade="BF"/>
                        </w:rPr>
                        <w:t>Surveillance</w:t>
                      </w:r>
                      <w:r>
                        <w:rPr>
                          <w:rFonts w:ascii="High Tower Text" w:eastAsiaTheme="majorEastAsia" w:hAnsi="High Tower Text" w:cstheme="majorBidi"/>
                          <w:color w:val="365F91" w:themeColor="accent1" w:themeShade="BF"/>
                        </w:rPr>
                        <w:t xml:space="preserve"> </w:t>
                      </w:r>
                      <w:r w:rsidRPr="002F1E38">
                        <w:rPr>
                          <w:rFonts w:ascii="High Tower Text" w:eastAsiaTheme="majorEastAsia" w:hAnsi="High Tower Text" w:cstheme="majorBidi"/>
                          <w:color w:val="365F91" w:themeColor="accent1" w:themeShade="BF"/>
                        </w:rPr>
                        <w:t xml:space="preserve">Guidance in Long-term Care Facilities </w:t>
                      </w:r>
                    </w:p>
                    <w:p w:rsidR="002F1E38" w:rsidRPr="00A14DAD" w:rsidRDefault="002F1E38" w:rsidP="002F1E38">
                      <w:pPr>
                        <w:pStyle w:val="Heading2"/>
                      </w:pPr>
                    </w:p>
                  </w:txbxContent>
                </v:textbox>
              </v:rect>
            </w:pict>
          </mc:Fallback>
        </mc:AlternateContent>
      </w:r>
      <w:bookmarkEnd w:id="0"/>
    </w:p>
    <w:p w:rsidR="002F1E38" w:rsidRPr="002F1E38" w:rsidRDefault="002F1E38" w:rsidP="002F1E38">
      <w:pPr>
        <w:pStyle w:val="Title"/>
        <w:rPr>
          <w:sz w:val="40"/>
          <w:szCs w:val="40"/>
        </w:rPr>
      </w:pPr>
      <w:r w:rsidRPr="002F1E38">
        <w:rPr>
          <w:sz w:val="40"/>
          <w:szCs w:val="40"/>
        </w:rPr>
        <w:t>Tips for Applying CDC’s Infection Surveillance Guidance in Long-term Care Facilities (LTCF)</w:t>
      </w:r>
    </w:p>
    <w:p w:rsidR="002F1E38" w:rsidRDefault="002F1E38" w:rsidP="00FE4E7E">
      <w:pPr>
        <w:rPr>
          <w:rFonts w:ascii="Arial" w:hAnsi="Arial" w:cs="Arial"/>
          <w:sz w:val="20"/>
          <w:szCs w:val="20"/>
        </w:rPr>
      </w:pPr>
    </w:p>
    <w:p w:rsidR="00FE4E7E" w:rsidRPr="004A1CBA" w:rsidRDefault="00031ED7" w:rsidP="00FE4E7E">
      <w:pPr>
        <w:rPr>
          <w:rFonts w:ascii="Arial" w:hAnsi="Arial" w:cs="Arial"/>
          <w:sz w:val="20"/>
          <w:szCs w:val="20"/>
        </w:rPr>
      </w:pPr>
      <w:r w:rsidRPr="004A1CBA">
        <w:rPr>
          <w:rFonts w:ascii="Arial" w:hAnsi="Arial" w:cs="Arial"/>
          <w:sz w:val="20"/>
          <w:szCs w:val="20"/>
        </w:rPr>
        <w:t xml:space="preserve">This summary of surveillance tips may be useful for </w:t>
      </w:r>
      <w:r w:rsidR="00486BBF" w:rsidRPr="004A1CBA">
        <w:rPr>
          <w:rFonts w:ascii="Arial" w:hAnsi="Arial" w:cs="Arial"/>
          <w:sz w:val="20"/>
          <w:szCs w:val="20"/>
        </w:rPr>
        <w:t>infection preventionists (</w:t>
      </w:r>
      <w:r w:rsidRPr="004A1CBA">
        <w:rPr>
          <w:rFonts w:ascii="Arial" w:hAnsi="Arial" w:cs="Arial"/>
          <w:sz w:val="20"/>
          <w:szCs w:val="20"/>
        </w:rPr>
        <w:t>IPs</w:t>
      </w:r>
      <w:r w:rsidR="00486BBF" w:rsidRPr="004A1CBA">
        <w:rPr>
          <w:rFonts w:ascii="Arial" w:hAnsi="Arial" w:cs="Arial"/>
          <w:sz w:val="20"/>
          <w:szCs w:val="20"/>
        </w:rPr>
        <w:t>)</w:t>
      </w:r>
      <w:r w:rsidRPr="004A1CBA">
        <w:rPr>
          <w:rFonts w:ascii="Arial" w:hAnsi="Arial" w:cs="Arial"/>
          <w:sz w:val="20"/>
          <w:szCs w:val="20"/>
        </w:rPr>
        <w:t xml:space="preserve"> applying infection surveillance definitions to resident conditions. The Centers for Disease Control and Prevention (CDC), along with experts in long-term care, developed a national standard for infection surveillance in LTCF</w:t>
      </w:r>
      <w:r w:rsidR="000B35E2">
        <w:rPr>
          <w:rFonts w:ascii="Arial" w:hAnsi="Arial" w:cs="Arial"/>
          <w:sz w:val="20"/>
          <w:szCs w:val="20"/>
        </w:rPr>
        <w:t xml:space="preserve"> entitled, </w:t>
      </w:r>
      <w:r w:rsidRPr="004A1CBA">
        <w:rPr>
          <w:rFonts w:ascii="Arial" w:hAnsi="Arial" w:cs="Arial"/>
          <w:i/>
          <w:sz w:val="20"/>
          <w:szCs w:val="20"/>
          <w:lang w:val="en"/>
        </w:rPr>
        <w:t xml:space="preserve">Surveillance Definitions of Infections in Long-Term Care Facilities: Revisiting the </w:t>
      </w:r>
      <w:proofErr w:type="spellStart"/>
      <w:r w:rsidRPr="004A1CBA">
        <w:rPr>
          <w:rFonts w:ascii="Arial" w:hAnsi="Arial" w:cs="Arial"/>
          <w:i/>
          <w:sz w:val="20"/>
          <w:szCs w:val="20"/>
          <w:lang w:val="en"/>
        </w:rPr>
        <w:t>McGeer</w:t>
      </w:r>
      <w:proofErr w:type="spellEnd"/>
      <w:r w:rsidRPr="004A1CBA">
        <w:rPr>
          <w:rFonts w:ascii="Arial" w:hAnsi="Arial" w:cs="Arial"/>
          <w:i/>
          <w:sz w:val="20"/>
          <w:szCs w:val="20"/>
          <w:lang w:val="en"/>
        </w:rPr>
        <w:t xml:space="preserve"> Criteria</w:t>
      </w:r>
      <w:r w:rsidRPr="004A1CBA">
        <w:rPr>
          <w:rFonts w:ascii="Arial" w:hAnsi="Arial" w:cs="Arial"/>
          <w:sz w:val="20"/>
          <w:szCs w:val="20"/>
        </w:rPr>
        <w:t xml:space="preserve"> (Stone et al., 2012), which defines the resident symptoms and other clinical criteria that are used to meet infection surveillance definitions. Infection surveillance definitions are </w:t>
      </w:r>
      <w:r w:rsidR="00D01350">
        <w:rPr>
          <w:rFonts w:ascii="Arial" w:hAnsi="Arial" w:cs="Arial"/>
          <w:sz w:val="20"/>
          <w:szCs w:val="20"/>
        </w:rPr>
        <w:t>essential</w:t>
      </w:r>
      <w:r w:rsidRPr="004A1CBA">
        <w:rPr>
          <w:rFonts w:ascii="Arial" w:hAnsi="Arial" w:cs="Arial"/>
          <w:sz w:val="20"/>
          <w:szCs w:val="20"/>
        </w:rPr>
        <w:t xml:space="preserve"> </w:t>
      </w:r>
      <w:r w:rsidR="006D6737" w:rsidRPr="004A1CBA">
        <w:rPr>
          <w:rFonts w:ascii="Arial" w:hAnsi="Arial" w:cs="Arial"/>
          <w:sz w:val="20"/>
          <w:szCs w:val="20"/>
        </w:rPr>
        <w:t>for</w:t>
      </w:r>
      <w:r w:rsidRPr="004A1CBA">
        <w:rPr>
          <w:rFonts w:ascii="Arial" w:hAnsi="Arial" w:cs="Arial"/>
          <w:sz w:val="20"/>
          <w:szCs w:val="20"/>
        </w:rPr>
        <w:t xml:space="preserve"> consistently monitor</w:t>
      </w:r>
      <w:r w:rsidR="006D6737" w:rsidRPr="004A1CBA">
        <w:rPr>
          <w:rFonts w:ascii="Arial" w:hAnsi="Arial" w:cs="Arial"/>
          <w:sz w:val="20"/>
          <w:szCs w:val="20"/>
        </w:rPr>
        <w:t>ing</w:t>
      </w:r>
      <w:r w:rsidRPr="004A1CBA">
        <w:rPr>
          <w:rFonts w:ascii="Arial" w:hAnsi="Arial" w:cs="Arial"/>
          <w:sz w:val="20"/>
          <w:szCs w:val="20"/>
        </w:rPr>
        <w:t xml:space="preserve"> infections </w:t>
      </w:r>
      <w:r w:rsidR="006D6737" w:rsidRPr="004A1CBA">
        <w:rPr>
          <w:rFonts w:ascii="Arial" w:hAnsi="Arial" w:cs="Arial"/>
          <w:sz w:val="20"/>
          <w:szCs w:val="20"/>
        </w:rPr>
        <w:t>over time</w:t>
      </w:r>
      <w:r w:rsidR="00D01350">
        <w:rPr>
          <w:rFonts w:ascii="Arial" w:hAnsi="Arial" w:cs="Arial"/>
          <w:sz w:val="20"/>
          <w:szCs w:val="20"/>
        </w:rPr>
        <w:t xml:space="preserve"> and to</w:t>
      </w:r>
      <w:r w:rsidRPr="004A1CBA">
        <w:rPr>
          <w:rFonts w:ascii="Arial" w:hAnsi="Arial" w:cs="Arial"/>
          <w:sz w:val="20"/>
          <w:szCs w:val="20"/>
        </w:rPr>
        <w:t xml:space="preserve"> determine where infection </w:t>
      </w:r>
      <w:r w:rsidR="006D6737" w:rsidRPr="004A1CBA">
        <w:rPr>
          <w:rFonts w:ascii="Arial" w:hAnsi="Arial" w:cs="Arial"/>
          <w:sz w:val="20"/>
          <w:szCs w:val="20"/>
        </w:rPr>
        <w:t>prevention efforts are needed.</w:t>
      </w:r>
      <w:r w:rsidRPr="004A1CBA">
        <w:rPr>
          <w:rFonts w:ascii="Arial" w:hAnsi="Arial" w:cs="Arial"/>
          <w:sz w:val="20"/>
          <w:szCs w:val="20"/>
        </w:rPr>
        <w:t xml:space="preserve"> </w:t>
      </w:r>
      <w:r w:rsidR="006D6737" w:rsidRPr="004A1CBA">
        <w:rPr>
          <w:rFonts w:ascii="Arial" w:hAnsi="Arial" w:cs="Arial"/>
          <w:sz w:val="20"/>
          <w:szCs w:val="20"/>
        </w:rPr>
        <w:t>A</w:t>
      </w:r>
      <w:r w:rsidR="00D01350">
        <w:rPr>
          <w:rFonts w:ascii="Arial" w:hAnsi="Arial" w:cs="Arial"/>
          <w:sz w:val="20"/>
          <w:szCs w:val="20"/>
        </w:rPr>
        <w:t xml:space="preserve"> log or </w:t>
      </w:r>
      <w:proofErr w:type="spellStart"/>
      <w:r w:rsidR="00D01350">
        <w:rPr>
          <w:rFonts w:ascii="Arial" w:hAnsi="Arial" w:cs="Arial"/>
          <w:sz w:val="20"/>
          <w:szCs w:val="20"/>
        </w:rPr>
        <w:t>linelist</w:t>
      </w:r>
      <w:proofErr w:type="spellEnd"/>
      <w:r w:rsidR="00D01350">
        <w:rPr>
          <w:rFonts w:ascii="Arial" w:hAnsi="Arial" w:cs="Arial"/>
          <w:sz w:val="20"/>
          <w:szCs w:val="20"/>
        </w:rPr>
        <w:t xml:space="preserve"> </w:t>
      </w:r>
      <w:r w:rsidR="00197BA3" w:rsidRPr="004A1CBA">
        <w:rPr>
          <w:rFonts w:ascii="Arial" w:hAnsi="Arial" w:cs="Arial"/>
          <w:sz w:val="20"/>
          <w:szCs w:val="20"/>
        </w:rPr>
        <w:t xml:space="preserve">can help organize information about resident </w:t>
      </w:r>
      <w:r w:rsidRPr="004A1CBA">
        <w:rPr>
          <w:rFonts w:ascii="Arial" w:hAnsi="Arial" w:cs="Arial"/>
          <w:sz w:val="20"/>
          <w:szCs w:val="20"/>
        </w:rPr>
        <w:t>infection</w:t>
      </w:r>
      <w:r w:rsidR="00197BA3" w:rsidRPr="004A1CBA">
        <w:rPr>
          <w:rFonts w:ascii="Arial" w:hAnsi="Arial" w:cs="Arial"/>
          <w:sz w:val="20"/>
          <w:szCs w:val="20"/>
        </w:rPr>
        <w:t>s</w:t>
      </w:r>
      <w:r w:rsidR="008354DE" w:rsidRPr="004A1CBA">
        <w:rPr>
          <w:rFonts w:ascii="Arial" w:hAnsi="Arial" w:cs="Arial"/>
          <w:sz w:val="20"/>
          <w:szCs w:val="20"/>
        </w:rPr>
        <w:t>)</w:t>
      </w:r>
      <w:r w:rsidRPr="004A1CBA">
        <w:rPr>
          <w:rFonts w:ascii="Arial" w:hAnsi="Arial" w:cs="Arial"/>
          <w:sz w:val="20"/>
          <w:szCs w:val="20"/>
        </w:rPr>
        <w:t>.</w:t>
      </w:r>
      <w:r w:rsidR="00FE4E7E" w:rsidRPr="004A1CBA">
        <w:rPr>
          <w:rFonts w:ascii="Arial" w:hAnsi="Arial" w:cs="Arial"/>
          <w:sz w:val="20"/>
          <w:szCs w:val="20"/>
        </w:rPr>
        <w:t xml:space="preserve"> </w:t>
      </w:r>
    </w:p>
    <w:p w:rsidR="004A1CBA" w:rsidRPr="004A1CBA" w:rsidRDefault="004A1CBA" w:rsidP="00CD0CBC">
      <w:pPr>
        <w:rPr>
          <w:rFonts w:ascii="Arial" w:hAnsi="Arial" w:cs="Arial"/>
          <w:sz w:val="20"/>
          <w:szCs w:val="20"/>
        </w:rPr>
      </w:pPr>
    </w:p>
    <w:p w:rsidR="00031ED7" w:rsidRPr="002F1E38" w:rsidRDefault="00031ED7" w:rsidP="002F1E38">
      <w:pPr>
        <w:pStyle w:val="Heading2"/>
      </w:pPr>
      <w:r w:rsidRPr="002F1E38">
        <w:t xml:space="preserve">Infection </w:t>
      </w:r>
      <w:proofErr w:type="spellStart"/>
      <w:r w:rsidRPr="002F1E38">
        <w:t>Linelist</w:t>
      </w:r>
      <w:proofErr w:type="spellEnd"/>
    </w:p>
    <w:p w:rsidR="00A52BD4" w:rsidRPr="004A1CBA" w:rsidRDefault="004A1CBA" w:rsidP="00CD0CBC">
      <w:pPr>
        <w:rPr>
          <w:rFonts w:ascii="Arial" w:hAnsi="Arial" w:cs="Arial"/>
          <w:sz w:val="20"/>
          <w:szCs w:val="20"/>
        </w:rPr>
      </w:pPr>
      <w:r w:rsidRPr="004A1CBA">
        <w:rPr>
          <w:rFonts w:ascii="Arial" w:hAnsi="Arial" w:cs="Arial"/>
          <w:sz w:val="20"/>
          <w:szCs w:val="20"/>
        </w:rPr>
        <w:t xml:space="preserve">The </w:t>
      </w:r>
      <w:proofErr w:type="spellStart"/>
      <w:r w:rsidRPr="004A1CBA">
        <w:rPr>
          <w:rFonts w:ascii="Arial" w:hAnsi="Arial" w:cs="Arial"/>
          <w:sz w:val="20"/>
          <w:szCs w:val="20"/>
        </w:rPr>
        <w:t>linelist</w:t>
      </w:r>
      <w:proofErr w:type="spellEnd"/>
      <w:r w:rsidRPr="004A1CBA">
        <w:rPr>
          <w:rFonts w:ascii="Arial" w:hAnsi="Arial" w:cs="Arial"/>
          <w:sz w:val="20"/>
          <w:szCs w:val="20"/>
        </w:rPr>
        <w:t xml:space="preserve"> should be </w:t>
      </w:r>
      <w:r w:rsidR="00D01350">
        <w:rPr>
          <w:rFonts w:ascii="Arial" w:hAnsi="Arial" w:cs="Arial"/>
          <w:sz w:val="20"/>
          <w:szCs w:val="20"/>
        </w:rPr>
        <w:t xml:space="preserve">monitored and </w:t>
      </w:r>
      <w:r w:rsidRPr="004A1CBA">
        <w:rPr>
          <w:rFonts w:ascii="Arial" w:hAnsi="Arial" w:cs="Arial"/>
          <w:sz w:val="20"/>
          <w:szCs w:val="20"/>
        </w:rPr>
        <w:t xml:space="preserve">updated regularly </w:t>
      </w:r>
      <w:r w:rsidR="00D01350">
        <w:rPr>
          <w:rFonts w:ascii="Arial" w:hAnsi="Arial" w:cs="Arial"/>
          <w:sz w:val="20"/>
          <w:szCs w:val="20"/>
        </w:rPr>
        <w:t>to identify</w:t>
      </w:r>
      <w:r w:rsidRPr="004A1CBA">
        <w:rPr>
          <w:rFonts w:ascii="Arial" w:hAnsi="Arial" w:cs="Arial"/>
          <w:sz w:val="20"/>
          <w:szCs w:val="20"/>
        </w:rPr>
        <w:t xml:space="preserve"> clusters, outbreaks, and other unusual infection patterns</w:t>
      </w:r>
      <w:r w:rsidR="00D01350">
        <w:rPr>
          <w:rFonts w:ascii="Arial" w:hAnsi="Arial" w:cs="Arial"/>
          <w:sz w:val="20"/>
          <w:szCs w:val="20"/>
        </w:rPr>
        <w:t xml:space="preserve">. </w:t>
      </w:r>
      <w:r w:rsidRPr="004A1CBA">
        <w:rPr>
          <w:rFonts w:ascii="Arial" w:hAnsi="Arial" w:cs="Arial"/>
          <w:sz w:val="20"/>
          <w:szCs w:val="20"/>
        </w:rPr>
        <w:t xml:space="preserve"> </w:t>
      </w:r>
      <w:r w:rsidR="00D01350">
        <w:rPr>
          <w:rFonts w:ascii="Arial" w:hAnsi="Arial" w:cs="Arial"/>
          <w:sz w:val="20"/>
          <w:szCs w:val="20"/>
        </w:rPr>
        <w:t>I</w:t>
      </w:r>
      <w:r w:rsidR="00A52BD4" w:rsidRPr="004A1CBA">
        <w:rPr>
          <w:rFonts w:ascii="Arial" w:hAnsi="Arial" w:cs="Arial"/>
          <w:sz w:val="20"/>
          <w:szCs w:val="20"/>
        </w:rPr>
        <w:t>nfection cues that an IP can use to determine whether a resident may have an infection</w:t>
      </w:r>
      <w:r w:rsidR="00D01350">
        <w:rPr>
          <w:rFonts w:ascii="Arial" w:hAnsi="Arial" w:cs="Arial"/>
          <w:sz w:val="20"/>
          <w:szCs w:val="20"/>
        </w:rPr>
        <w:t xml:space="preserve"> include: </w:t>
      </w:r>
      <w:r w:rsidR="00A52BD4" w:rsidRPr="004A1CBA">
        <w:rPr>
          <w:rFonts w:ascii="Arial" w:hAnsi="Arial" w:cs="Arial"/>
          <w:sz w:val="20"/>
          <w:szCs w:val="20"/>
        </w:rPr>
        <w:t xml:space="preserve"> </w:t>
      </w:r>
    </w:p>
    <w:p w:rsidR="00A52BD4" w:rsidRPr="004A1CBA" w:rsidRDefault="00D01350" w:rsidP="00A52BD4">
      <w:pPr>
        <w:pStyle w:val="ListParagraph"/>
        <w:numPr>
          <w:ilvl w:val="0"/>
          <w:numId w:val="11"/>
        </w:numPr>
        <w:rPr>
          <w:rFonts w:ascii="Arial" w:hAnsi="Arial" w:cs="Arial"/>
          <w:sz w:val="20"/>
          <w:szCs w:val="20"/>
        </w:rPr>
      </w:pPr>
      <w:r>
        <w:rPr>
          <w:rFonts w:ascii="Arial" w:hAnsi="Arial" w:cs="Arial"/>
          <w:sz w:val="20"/>
          <w:szCs w:val="20"/>
        </w:rPr>
        <w:t>A</w:t>
      </w:r>
      <w:r w:rsidR="00A52BD4" w:rsidRPr="004A1CBA">
        <w:rPr>
          <w:rFonts w:ascii="Arial" w:hAnsi="Arial" w:cs="Arial"/>
          <w:sz w:val="20"/>
          <w:szCs w:val="20"/>
        </w:rPr>
        <w:t>ntibiotic starts</w:t>
      </w:r>
      <w:r>
        <w:rPr>
          <w:rFonts w:ascii="Arial" w:hAnsi="Arial" w:cs="Arial"/>
          <w:sz w:val="20"/>
          <w:szCs w:val="20"/>
        </w:rPr>
        <w:t xml:space="preserve">; </w:t>
      </w:r>
      <w:r w:rsidR="000B35E2">
        <w:rPr>
          <w:rFonts w:ascii="Arial" w:hAnsi="Arial" w:cs="Arial"/>
          <w:sz w:val="20"/>
          <w:szCs w:val="20"/>
        </w:rPr>
        <w:t>w</w:t>
      </w:r>
      <w:r>
        <w:rPr>
          <w:rFonts w:ascii="Arial" w:hAnsi="Arial" w:cs="Arial"/>
          <w:sz w:val="20"/>
          <w:szCs w:val="20"/>
        </w:rPr>
        <w:t xml:space="preserve">hile this </w:t>
      </w:r>
      <w:r w:rsidR="00A52BD4" w:rsidRPr="004A1CBA">
        <w:rPr>
          <w:rFonts w:ascii="Arial" w:hAnsi="Arial" w:cs="Arial"/>
          <w:sz w:val="20"/>
          <w:szCs w:val="20"/>
        </w:rPr>
        <w:t>can be a helpful trigger for tracking possible infections</w:t>
      </w:r>
      <w:r w:rsidR="002F1E38">
        <w:rPr>
          <w:rFonts w:ascii="Arial" w:hAnsi="Arial" w:cs="Arial"/>
          <w:sz w:val="20"/>
          <w:szCs w:val="20"/>
        </w:rPr>
        <w:t>, it</w:t>
      </w:r>
      <w:r w:rsidR="00A52BD4" w:rsidRPr="004A1CBA">
        <w:rPr>
          <w:rFonts w:ascii="Arial" w:hAnsi="Arial" w:cs="Arial"/>
          <w:sz w:val="20"/>
          <w:szCs w:val="20"/>
        </w:rPr>
        <w:t xml:space="preserve"> is not enough information to determine if an infection is present or the type of infection. </w:t>
      </w:r>
    </w:p>
    <w:p w:rsidR="00D94C3C" w:rsidRPr="002F1E38" w:rsidRDefault="00D01350" w:rsidP="00D94C3C">
      <w:pPr>
        <w:pStyle w:val="ListParagraph"/>
        <w:numPr>
          <w:ilvl w:val="0"/>
          <w:numId w:val="11"/>
        </w:numPr>
        <w:rPr>
          <w:rFonts w:ascii="Arial" w:hAnsi="Arial" w:cs="Arial"/>
          <w:sz w:val="20"/>
          <w:szCs w:val="20"/>
        </w:rPr>
      </w:pPr>
      <w:r>
        <w:rPr>
          <w:rFonts w:ascii="Arial" w:hAnsi="Arial" w:cs="Arial"/>
          <w:sz w:val="20"/>
          <w:szCs w:val="20"/>
        </w:rPr>
        <w:t>R</w:t>
      </w:r>
      <w:r w:rsidR="00E27D8A" w:rsidRPr="004A1CBA">
        <w:rPr>
          <w:rFonts w:ascii="Arial" w:hAnsi="Arial" w:cs="Arial"/>
          <w:sz w:val="20"/>
          <w:szCs w:val="20"/>
        </w:rPr>
        <w:t>esidents’</w:t>
      </w:r>
      <w:r w:rsidR="00FE4E7E" w:rsidRPr="004A1CBA">
        <w:rPr>
          <w:rFonts w:ascii="Arial" w:hAnsi="Arial" w:cs="Arial"/>
          <w:sz w:val="20"/>
          <w:szCs w:val="20"/>
        </w:rPr>
        <w:t xml:space="preserve"> </w:t>
      </w:r>
      <w:r w:rsidR="00E27D8A" w:rsidRPr="004A1CBA">
        <w:rPr>
          <w:rFonts w:ascii="Arial" w:hAnsi="Arial" w:cs="Arial"/>
          <w:sz w:val="20"/>
          <w:szCs w:val="20"/>
        </w:rPr>
        <w:t>signs and symptoms of infection</w:t>
      </w:r>
      <w:r w:rsidR="000B35E2">
        <w:rPr>
          <w:rFonts w:ascii="Arial" w:hAnsi="Arial" w:cs="Arial"/>
          <w:sz w:val="20"/>
          <w:szCs w:val="20"/>
        </w:rPr>
        <w:t>:</w:t>
      </w:r>
      <w:r w:rsidR="004C7273" w:rsidRPr="004A1CBA">
        <w:rPr>
          <w:rFonts w:ascii="Arial" w:hAnsi="Arial" w:cs="Arial"/>
          <w:sz w:val="20"/>
          <w:szCs w:val="20"/>
        </w:rPr>
        <w:t xml:space="preserve"> </w:t>
      </w:r>
      <w:r w:rsidR="000B35E2">
        <w:rPr>
          <w:rFonts w:ascii="Arial" w:hAnsi="Arial" w:cs="Arial"/>
          <w:sz w:val="20"/>
          <w:szCs w:val="20"/>
        </w:rPr>
        <w:t>n</w:t>
      </w:r>
      <w:r w:rsidR="005E034C" w:rsidRPr="004A1CBA">
        <w:rPr>
          <w:rFonts w:ascii="Arial" w:hAnsi="Arial" w:cs="Arial"/>
          <w:sz w:val="20"/>
          <w:szCs w:val="20"/>
        </w:rPr>
        <w:t>ursing</w:t>
      </w:r>
      <w:r w:rsidR="00A43AE0" w:rsidRPr="004A1CBA">
        <w:rPr>
          <w:rFonts w:ascii="Arial" w:hAnsi="Arial" w:cs="Arial"/>
          <w:sz w:val="20"/>
          <w:szCs w:val="20"/>
        </w:rPr>
        <w:t xml:space="preserve"> personnel’s recognition,</w:t>
      </w:r>
      <w:r w:rsidR="0098672F" w:rsidRPr="004A1CBA">
        <w:rPr>
          <w:rFonts w:ascii="Arial" w:hAnsi="Arial" w:cs="Arial"/>
          <w:sz w:val="20"/>
          <w:szCs w:val="20"/>
        </w:rPr>
        <w:t xml:space="preserve"> assessment, </w:t>
      </w:r>
      <w:r w:rsidR="001A3B8E" w:rsidRPr="004A1CBA">
        <w:rPr>
          <w:rFonts w:ascii="Arial" w:hAnsi="Arial" w:cs="Arial"/>
          <w:sz w:val="20"/>
          <w:szCs w:val="20"/>
        </w:rPr>
        <w:t>d</w:t>
      </w:r>
      <w:r w:rsidR="00C86D4E" w:rsidRPr="004A1CBA">
        <w:rPr>
          <w:rFonts w:ascii="Arial" w:hAnsi="Arial" w:cs="Arial"/>
          <w:sz w:val="20"/>
          <w:szCs w:val="20"/>
        </w:rPr>
        <w:t>ocumentation</w:t>
      </w:r>
      <w:r w:rsidR="0098672F" w:rsidRPr="004A1CBA">
        <w:rPr>
          <w:rFonts w:ascii="Arial" w:hAnsi="Arial" w:cs="Arial"/>
          <w:sz w:val="20"/>
          <w:szCs w:val="20"/>
        </w:rPr>
        <w:t xml:space="preserve">, and communication </w:t>
      </w:r>
      <w:r w:rsidR="005E034C" w:rsidRPr="004A1CBA">
        <w:rPr>
          <w:rFonts w:ascii="Arial" w:hAnsi="Arial" w:cs="Arial"/>
          <w:sz w:val="20"/>
          <w:szCs w:val="20"/>
        </w:rPr>
        <w:t>of</w:t>
      </w:r>
      <w:r w:rsidR="007D1DB9" w:rsidRPr="004A1CBA">
        <w:rPr>
          <w:rFonts w:ascii="Arial" w:hAnsi="Arial" w:cs="Arial"/>
          <w:sz w:val="20"/>
          <w:szCs w:val="20"/>
        </w:rPr>
        <w:t xml:space="preserve"> </w:t>
      </w:r>
      <w:r w:rsidR="005E034C" w:rsidRPr="004A1CBA">
        <w:rPr>
          <w:rFonts w:ascii="Arial" w:hAnsi="Arial" w:cs="Arial"/>
          <w:sz w:val="20"/>
          <w:szCs w:val="20"/>
        </w:rPr>
        <w:t xml:space="preserve">resident symptoms </w:t>
      </w:r>
      <w:r w:rsidR="0098672F" w:rsidRPr="004A1CBA">
        <w:rPr>
          <w:rFonts w:ascii="Arial" w:hAnsi="Arial" w:cs="Arial"/>
          <w:sz w:val="20"/>
          <w:szCs w:val="20"/>
        </w:rPr>
        <w:t xml:space="preserve">impact </w:t>
      </w:r>
      <w:r w:rsidR="005D0604" w:rsidRPr="004A1CBA">
        <w:rPr>
          <w:rFonts w:ascii="Arial" w:hAnsi="Arial" w:cs="Arial"/>
          <w:sz w:val="20"/>
          <w:szCs w:val="20"/>
        </w:rPr>
        <w:t xml:space="preserve">the </w:t>
      </w:r>
      <w:r w:rsidR="00A43AE0" w:rsidRPr="004A1CBA">
        <w:rPr>
          <w:rFonts w:ascii="Arial" w:hAnsi="Arial" w:cs="Arial"/>
          <w:sz w:val="20"/>
          <w:szCs w:val="20"/>
        </w:rPr>
        <w:t>IP</w:t>
      </w:r>
      <w:r w:rsidR="00E27D8A" w:rsidRPr="004A1CBA">
        <w:rPr>
          <w:rFonts w:ascii="Arial" w:hAnsi="Arial" w:cs="Arial"/>
          <w:sz w:val="20"/>
          <w:szCs w:val="20"/>
        </w:rPr>
        <w:t>’</w:t>
      </w:r>
      <w:r w:rsidR="00A43AE0" w:rsidRPr="004A1CBA">
        <w:rPr>
          <w:rFonts w:ascii="Arial" w:hAnsi="Arial" w:cs="Arial"/>
          <w:sz w:val="20"/>
          <w:szCs w:val="20"/>
        </w:rPr>
        <w:t>s</w:t>
      </w:r>
      <w:r w:rsidR="005D0604" w:rsidRPr="004A1CBA">
        <w:rPr>
          <w:rFonts w:ascii="Arial" w:hAnsi="Arial" w:cs="Arial"/>
          <w:sz w:val="20"/>
          <w:szCs w:val="20"/>
        </w:rPr>
        <w:t xml:space="preserve"> ability to </w:t>
      </w:r>
      <w:r w:rsidR="00BB6846" w:rsidRPr="004A1CBA">
        <w:rPr>
          <w:rFonts w:ascii="Arial" w:hAnsi="Arial" w:cs="Arial"/>
          <w:sz w:val="20"/>
          <w:szCs w:val="20"/>
        </w:rPr>
        <w:t>appl</w:t>
      </w:r>
      <w:r w:rsidR="005D0604" w:rsidRPr="004A1CBA">
        <w:rPr>
          <w:rFonts w:ascii="Arial" w:hAnsi="Arial" w:cs="Arial"/>
          <w:sz w:val="20"/>
          <w:szCs w:val="20"/>
        </w:rPr>
        <w:t>y</w:t>
      </w:r>
      <w:r w:rsidR="00BB6846" w:rsidRPr="004A1CBA">
        <w:rPr>
          <w:rFonts w:ascii="Arial" w:hAnsi="Arial" w:cs="Arial"/>
          <w:sz w:val="20"/>
          <w:szCs w:val="20"/>
        </w:rPr>
        <w:t xml:space="preserve"> infection surveillance definitions</w:t>
      </w:r>
      <w:r w:rsidR="004C7273" w:rsidRPr="004A1CBA">
        <w:rPr>
          <w:rFonts w:ascii="Arial" w:hAnsi="Arial" w:cs="Arial"/>
          <w:sz w:val="20"/>
          <w:szCs w:val="20"/>
        </w:rPr>
        <w:t xml:space="preserve">, as they are based on specific </w:t>
      </w:r>
      <w:r w:rsidR="00A52BD4" w:rsidRPr="004A1CBA">
        <w:rPr>
          <w:rFonts w:ascii="Arial" w:hAnsi="Arial" w:cs="Arial"/>
          <w:sz w:val="20"/>
          <w:szCs w:val="20"/>
        </w:rPr>
        <w:t xml:space="preserve">symptom </w:t>
      </w:r>
      <w:r w:rsidR="004C7273" w:rsidRPr="004A1CBA">
        <w:rPr>
          <w:rFonts w:ascii="Arial" w:hAnsi="Arial" w:cs="Arial"/>
          <w:sz w:val="20"/>
          <w:szCs w:val="20"/>
        </w:rPr>
        <w:t>criteria.</w:t>
      </w:r>
    </w:p>
    <w:p w:rsidR="004A1CBA" w:rsidRPr="004A1CBA" w:rsidRDefault="004A1CBA" w:rsidP="00D94C3C">
      <w:pPr>
        <w:rPr>
          <w:rFonts w:ascii="Arial" w:hAnsi="Arial" w:cs="Arial"/>
          <w:sz w:val="20"/>
          <w:szCs w:val="20"/>
        </w:rPr>
      </w:pPr>
    </w:p>
    <w:p w:rsidR="008354DE" w:rsidRPr="004A1CBA" w:rsidRDefault="00031ED7" w:rsidP="002F1E38">
      <w:pPr>
        <w:pStyle w:val="Heading2"/>
      </w:pPr>
      <w:r w:rsidRPr="004A1CBA">
        <w:t>Criteria needed to meet standardized infection definitions</w:t>
      </w:r>
    </w:p>
    <w:p w:rsidR="00526E0D" w:rsidRPr="004A1CBA" w:rsidRDefault="00526E0D" w:rsidP="002F1E38">
      <w:pPr>
        <w:pStyle w:val="Heading3"/>
      </w:pPr>
      <w:r w:rsidRPr="004A1CBA">
        <w:t>Clinical information</w:t>
      </w:r>
    </w:p>
    <w:p w:rsidR="006B0CB0" w:rsidRPr="004A1CBA" w:rsidRDefault="00526E0D" w:rsidP="006B0CB0">
      <w:pPr>
        <w:rPr>
          <w:rFonts w:ascii="Arial" w:hAnsi="Arial" w:cs="Arial"/>
          <w:sz w:val="20"/>
          <w:szCs w:val="20"/>
        </w:rPr>
      </w:pPr>
      <w:r w:rsidRPr="004A1CBA">
        <w:rPr>
          <w:rFonts w:ascii="Arial" w:hAnsi="Arial" w:cs="Arial"/>
          <w:sz w:val="20"/>
          <w:szCs w:val="20"/>
        </w:rPr>
        <w:t>I</w:t>
      </w:r>
      <w:r w:rsidR="00A021B7" w:rsidRPr="004A1CBA">
        <w:rPr>
          <w:rFonts w:ascii="Arial" w:hAnsi="Arial" w:cs="Arial"/>
          <w:sz w:val="20"/>
          <w:szCs w:val="20"/>
        </w:rPr>
        <w:t xml:space="preserve">nfection surveillance </w:t>
      </w:r>
      <w:r w:rsidRPr="004A1CBA">
        <w:rPr>
          <w:rFonts w:ascii="Arial" w:hAnsi="Arial" w:cs="Arial"/>
          <w:sz w:val="20"/>
          <w:szCs w:val="20"/>
        </w:rPr>
        <w:t xml:space="preserve">definitions </w:t>
      </w:r>
      <w:r w:rsidR="00A021B7" w:rsidRPr="004A1CBA">
        <w:rPr>
          <w:rFonts w:ascii="Arial" w:hAnsi="Arial" w:cs="Arial"/>
          <w:sz w:val="20"/>
          <w:szCs w:val="20"/>
        </w:rPr>
        <w:t>require c</w:t>
      </w:r>
      <w:r w:rsidR="00796355" w:rsidRPr="004A1CBA">
        <w:rPr>
          <w:rFonts w:ascii="Arial" w:hAnsi="Arial" w:cs="Arial"/>
          <w:sz w:val="20"/>
          <w:szCs w:val="20"/>
        </w:rPr>
        <w:t xml:space="preserve">lear, </w:t>
      </w:r>
      <w:r w:rsidR="00E26A64" w:rsidRPr="004A1CBA">
        <w:rPr>
          <w:rFonts w:ascii="Arial" w:hAnsi="Arial" w:cs="Arial"/>
          <w:sz w:val="20"/>
          <w:szCs w:val="20"/>
        </w:rPr>
        <w:t>descriptive</w:t>
      </w:r>
      <w:r w:rsidR="00796355" w:rsidRPr="004A1CBA">
        <w:rPr>
          <w:rFonts w:ascii="Arial" w:hAnsi="Arial" w:cs="Arial"/>
          <w:sz w:val="20"/>
          <w:szCs w:val="20"/>
        </w:rPr>
        <w:t xml:space="preserve"> symptom documentation</w:t>
      </w:r>
      <w:r w:rsidR="006B0CB0" w:rsidRPr="004A1CBA">
        <w:rPr>
          <w:rFonts w:ascii="Arial" w:hAnsi="Arial" w:cs="Arial"/>
          <w:sz w:val="20"/>
          <w:szCs w:val="20"/>
        </w:rPr>
        <w:t xml:space="preserve">. </w:t>
      </w:r>
      <w:r w:rsidR="00C131D0" w:rsidRPr="004A1CBA">
        <w:rPr>
          <w:rFonts w:ascii="Arial" w:hAnsi="Arial" w:cs="Arial"/>
          <w:sz w:val="20"/>
          <w:szCs w:val="20"/>
        </w:rPr>
        <w:t>See the table below for examples</w:t>
      </w:r>
      <w:r w:rsidR="00D01350">
        <w:rPr>
          <w:rFonts w:ascii="Arial" w:hAnsi="Arial" w:cs="Arial"/>
          <w:sz w:val="20"/>
          <w:szCs w:val="20"/>
        </w:rPr>
        <w:t xml:space="preserve">. </w:t>
      </w:r>
      <w:r w:rsidR="00B82E68" w:rsidRPr="004A1CBA">
        <w:rPr>
          <w:rFonts w:ascii="Arial" w:hAnsi="Arial" w:cs="Arial"/>
          <w:sz w:val="20"/>
          <w:szCs w:val="20"/>
        </w:rPr>
        <w:t xml:space="preserve"> </w:t>
      </w:r>
    </w:p>
    <w:p w:rsidR="00796355" w:rsidRPr="004A1CBA" w:rsidRDefault="00796355" w:rsidP="00796355">
      <w:pPr>
        <w:pStyle w:val="ListParagraph"/>
        <w:rPr>
          <w:rFonts w:ascii="Arial" w:hAnsi="Arial" w:cs="Arial"/>
          <w:sz w:val="20"/>
          <w:szCs w:val="20"/>
        </w:rPr>
      </w:pPr>
    </w:p>
    <w:tbl>
      <w:tblPr>
        <w:tblStyle w:val="TableGrid"/>
        <w:tblW w:w="0" w:type="auto"/>
        <w:tblInd w:w="558" w:type="dxa"/>
        <w:tblLook w:val="04A0" w:firstRow="1" w:lastRow="0" w:firstColumn="1" w:lastColumn="0" w:noHBand="0" w:noVBand="1"/>
      </w:tblPr>
      <w:tblGrid>
        <w:gridCol w:w="4230"/>
        <w:gridCol w:w="4410"/>
      </w:tblGrid>
      <w:tr w:rsidR="00796355" w:rsidRPr="004A1CBA" w:rsidTr="00E26A64">
        <w:tc>
          <w:tcPr>
            <w:tcW w:w="4230" w:type="dxa"/>
          </w:tcPr>
          <w:p w:rsidR="00796355" w:rsidRPr="004A1CBA" w:rsidRDefault="00E26A64" w:rsidP="00E26A64">
            <w:pPr>
              <w:rPr>
                <w:rFonts w:ascii="Arial" w:hAnsi="Arial" w:cs="Arial"/>
                <w:b/>
                <w:sz w:val="20"/>
                <w:szCs w:val="20"/>
              </w:rPr>
            </w:pPr>
            <w:r w:rsidRPr="004A1CBA">
              <w:rPr>
                <w:rFonts w:ascii="Arial" w:hAnsi="Arial" w:cs="Arial"/>
                <w:b/>
                <w:sz w:val="20"/>
                <w:szCs w:val="20"/>
              </w:rPr>
              <w:t>Less</w:t>
            </w:r>
            <w:r w:rsidR="00796355" w:rsidRPr="004A1CBA">
              <w:rPr>
                <w:rFonts w:ascii="Arial" w:hAnsi="Arial" w:cs="Arial"/>
                <w:b/>
                <w:sz w:val="20"/>
                <w:szCs w:val="20"/>
              </w:rPr>
              <w:t xml:space="preserve"> descripti</w:t>
            </w:r>
            <w:r w:rsidRPr="004A1CBA">
              <w:rPr>
                <w:rFonts w:ascii="Arial" w:hAnsi="Arial" w:cs="Arial"/>
                <w:b/>
                <w:sz w:val="20"/>
                <w:szCs w:val="20"/>
              </w:rPr>
              <w:t>ve</w:t>
            </w:r>
            <w:r w:rsidR="00796355" w:rsidRPr="004A1CBA">
              <w:rPr>
                <w:rFonts w:ascii="Arial" w:hAnsi="Arial" w:cs="Arial"/>
                <w:b/>
                <w:sz w:val="20"/>
                <w:szCs w:val="20"/>
              </w:rPr>
              <w:t xml:space="preserve"> symptom</w:t>
            </w:r>
            <w:r w:rsidRPr="004A1CBA">
              <w:rPr>
                <w:rFonts w:ascii="Arial" w:hAnsi="Arial" w:cs="Arial"/>
                <w:b/>
                <w:sz w:val="20"/>
                <w:szCs w:val="20"/>
              </w:rPr>
              <w:t xml:space="preserve"> documentation</w:t>
            </w:r>
          </w:p>
        </w:tc>
        <w:tc>
          <w:tcPr>
            <w:tcW w:w="4410" w:type="dxa"/>
          </w:tcPr>
          <w:p w:rsidR="00796355" w:rsidRPr="004A1CBA" w:rsidRDefault="00E26A64" w:rsidP="00E26A64">
            <w:pPr>
              <w:rPr>
                <w:rFonts w:ascii="Arial" w:hAnsi="Arial" w:cs="Arial"/>
                <w:b/>
                <w:sz w:val="20"/>
                <w:szCs w:val="20"/>
              </w:rPr>
            </w:pPr>
            <w:r w:rsidRPr="004A1CBA">
              <w:rPr>
                <w:rFonts w:ascii="Arial" w:hAnsi="Arial" w:cs="Arial"/>
                <w:b/>
                <w:sz w:val="20"/>
                <w:szCs w:val="20"/>
              </w:rPr>
              <w:t>More</w:t>
            </w:r>
            <w:r w:rsidR="00796355" w:rsidRPr="004A1CBA">
              <w:rPr>
                <w:rFonts w:ascii="Arial" w:hAnsi="Arial" w:cs="Arial"/>
                <w:b/>
                <w:sz w:val="20"/>
                <w:szCs w:val="20"/>
              </w:rPr>
              <w:t xml:space="preserve"> descripti</w:t>
            </w:r>
            <w:r w:rsidRPr="004A1CBA">
              <w:rPr>
                <w:rFonts w:ascii="Arial" w:hAnsi="Arial" w:cs="Arial"/>
                <w:b/>
                <w:sz w:val="20"/>
                <w:szCs w:val="20"/>
              </w:rPr>
              <w:t>ve</w:t>
            </w:r>
            <w:r w:rsidR="00796355" w:rsidRPr="004A1CBA">
              <w:rPr>
                <w:rFonts w:ascii="Arial" w:hAnsi="Arial" w:cs="Arial"/>
                <w:b/>
                <w:sz w:val="20"/>
                <w:szCs w:val="20"/>
              </w:rPr>
              <w:t xml:space="preserve"> symptom</w:t>
            </w:r>
            <w:r w:rsidRPr="004A1CBA">
              <w:rPr>
                <w:rFonts w:ascii="Arial" w:hAnsi="Arial" w:cs="Arial"/>
                <w:b/>
                <w:sz w:val="20"/>
                <w:szCs w:val="20"/>
              </w:rPr>
              <w:t xml:space="preserve"> documentation</w:t>
            </w:r>
          </w:p>
        </w:tc>
      </w:tr>
      <w:tr w:rsidR="00796355" w:rsidRPr="004A1CBA" w:rsidTr="00E26A64">
        <w:tc>
          <w:tcPr>
            <w:tcW w:w="4230" w:type="dxa"/>
          </w:tcPr>
          <w:p w:rsidR="00796355" w:rsidRPr="004A1CBA" w:rsidRDefault="00796355" w:rsidP="002E0674">
            <w:pPr>
              <w:rPr>
                <w:rFonts w:ascii="Arial" w:hAnsi="Arial" w:cs="Arial"/>
                <w:sz w:val="20"/>
                <w:szCs w:val="20"/>
              </w:rPr>
            </w:pPr>
            <w:r w:rsidRPr="004A1CBA">
              <w:rPr>
                <w:rFonts w:ascii="Arial" w:hAnsi="Arial" w:cs="Arial"/>
                <w:sz w:val="20"/>
                <w:szCs w:val="20"/>
              </w:rPr>
              <w:t>Fever</w:t>
            </w:r>
          </w:p>
        </w:tc>
        <w:tc>
          <w:tcPr>
            <w:tcW w:w="4410" w:type="dxa"/>
          </w:tcPr>
          <w:p w:rsidR="00796355" w:rsidRPr="004A1CBA" w:rsidRDefault="00796355" w:rsidP="002E0674">
            <w:pPr>
              <w:rPr>
                <w:rFonts w:ascii="Arial" w:hAnsi="Arial" w:cs="Arial"/>
                <w:sz w:val="20"/>
                <w:szCs w:val="20"/>
              </w:rPr>
            </w:pPr>
            <w:r w:rsidRPr="004A1CBA">
              <w:rPr>
                <w:rFonts w:ascii="Arial" w:hAnsi="Arial" w:cs="Arial"/>
                <w:sz w:val="20"/>
                <w:szCs w:val="20"/>
              </w:rPr>
              <w:t>Specific</w:t>
            </w:r>
            <w:r w:rsidR="009D0CDB" w:rsidRPr="004A1CBA">
              <w:rPr>
                <w:rFonts w:ascii="Arial" w:hAnsi="Arial" w:cs="Arial"/>
                <w:sz w:val="20"/>
                <w:szCs w:val="20"/>
              </w:rPr>
              <w:t xml:space="preserve"> temperature reading (e.g. 100.1</w:t>
            </w:r>
            <w:r w:rsidRPr="004A1CBA">
              <w:rPr>
                <w:rFonts w:ascii="Arial" w:hAnsi="Arial" w:cs="Arial"/>
                <w:sz w:val="20"/>
                <w:szCs w:val="20"/>
              </w:rPr>
              <w:t>˚F)</w:t>
            </w:r>
          </w:p>
        </w:tc>
      </w:tr>
      <w:tr w:rsidR="00796355" w:rsidRPr="004A1CBA" w:rsidTr="00E26A64">
        <w:tc>
          <w:tcPr>
            <w:tcW w:w="4230" w:type="dxa"/>
          </w:tcPr>
          <w:p w:rsidR="00796355" w:rsidRPr="004A1CBA" w:rsidRDefault="00796355" w:rsidP="002E0674">
            <w:pPr>
              <w:rPr>
                <w:rFonts w:ascii="Arial" w:hAnsi="Arial" w:cs="Arial"/>
                <w:sz w:val="20"/>
                <w:szCs w:val="20"/>
              </w:rPr>
            </w:pPr>
            <w:r w:rsidRPr="004A1CBA">
              <w:rPr>
                <w:rFonts w:ascii="Arial" w:hAnsi="Arial" w:cs="Arial"/>
                <w:sz w:val="20"/>
                <w:szCs w:val="20"/>
              </w:rPr>
              <w:t>Shortness of breath</w:t>
            </w:r>
          </w:p>
        </w:tc>
        <w:tc>
          <w:tcPr>
            <w:tcW w:w="4410" w:type="dxa"/>
          </w:tcPr>
          <w:p w:rsidR="00796355" w:rsidRPr="004A1CBA" w:rsidRDefault="00796355" w:rsidP="002E0674">
            <w:pPr>
              <w:rPr>
                <w:rFonts w:ascii="Arial" w:hAnsi="Arial" w:cs="Arial"/>
                <w:sz w:val="20"/>
                <w:szCs w:val="20"/>
              </w:rPr>
            </w:pPr>
            <w:r w:rsidRPr="004A1CBA">
              <w:rPr>
                <w:rFonts w:ascii="Arial" w:hAnsi="Arial" w:cs="Arial"/>
                <w:sz w:val="20"/>
                <w:szCs w:val="20"/>
              </w:rPr>
              <w:t>Respiratory rate, oxygen saturation</w:t>
            </w:r>
          </w:p>
        </w:tc>
      </w:tr>
      <w:tr w:rsidR="00146837" w:rsidRPr="004A1CBA" w:rsidTr="00E26A64">
        <w:tc>
          <w:tcPr>
            <w:tcW w:w="4230" w:type="dxa"/>
          </w:tcPr>
          <w:p w:rsidR="00146837" w:rsidRPr="004A1CBA" w:rsidRDefault="00146837" w:rsidP="002E0674">
            <w:pPr>
              <w:rPr>
                <w:rFonts w:ascii="Arial" w:hAnsi="Arial" w:cs="Arial"/>
                <w:sz w:val="20"/>
                <w:szCs w:val="20"/>
              </w:rPr>
            </w:pPr>
            <w:r w:rsidRPr="004A1CBA">
              <w:rPr>
                <w:rFonts w:ascii="Arial" w:hAnsi="Arial" w:cs="Arial"/>
                <w:sz w:val="20"/>
                <w:szCs w:val="20"/>
              </w:rPr>
              <w:t>Cough</w:t>
            </w:r>
          </w:p>
        </w:tc>
        <w:tc>
          <w:tcPr>
            <w:tcW w:w="4410" w:type="dxa"/>
          </w:tcPr>
          <w:p w:rsidR="00146837" w:rsidRPr="004A1CBA" w:rsidRDefault="00146837" w:rsidP="002E0674">
            <w:pPr>
              <w:rPr>
                <w:rFonts w:ascii="Arial" w:hAnsi="Arial" w:cs="Arial"/>
                <w:sz w:val="20"/>
                <w:szCs w:val="20"/>
              </w:rPr>
            </w:pPr>
            <w:r w:rsidRPr="004A1CBA">
              <w:rPr>
                <w:rFonts w:ascii="Arial" w:hAnsi="Arial" w:cs="Arial"/>
                <w:sz w:val="20"/>
                <w:szCs w:val="20"/>
              </w:rPr>
              <w:t>Dry cough; productive cough</w:t>
            </w:r>
          </w:p>
        </w:tc>
      </w:tr>
    </w:tbl>
    <w:p w:rsidR="00146837" w:rsidRPr="004A1CBA" w:rsidRDefault="00146837" w:rsidP="00E551CF">
      <w:pPr>
        <w:rPr>
          <w:rFonts w:ascii="Arial" w:hAnsi="Arial" w:cs="Arial"/>
          <w:sz w:val="20"/>
          <w:szCs w:val="20"/>
        </w:rPr>
      </w:pPr>
    </w:p>
    <w:p w:rsidR="006B0CB0" w:rsidRPr="004A1CBA" w:rsidRDefault="006B0CB0" w:rsidP="006B0CB0">
      <w:pPr>
        <w:pStyle w:val="ListParagraph"/>
        <w:numPr>
          <w:ilvl w:val="0"/>
          <w:numId w:val="12"/>
        </w:numPr>
        <w:rPr>
          <w:rFonts w:ascii="Arial" w:hAnsi="Arial" w:cs="Arial"/>
          <w:sz w:val="20"/>
          <w:szCs w:val="20"/>
        </w:rPr>
      </w:pPr>
      <w:r w:rsidRPr="004A1CBA">
        <w:rPr>
          <w:rFonts w:ascii="Arial" w:hAnsi="Arial" w:cs="Arial"/>
          <w:sz w:val="20"/>
          <w:szCs w:val="20"/>
        </w:rPr>
        <w:t>If multiple symptoms are present, the onset date of each symptom</w:t>
      </w:r>
      <w:r w:rsidR="00D01350">
        <w:rPr>
          <w:rFonts w:ascii="Arial" w:hAnsi="Arial" w:cs="Arial"/>
          <w:sz w:val="20"/>
          <w:szCs w:val="20"/>
        </w:rPr>
        <w:t xml:space="preserve"> should be noted</w:t>
      </w:r>
      <w:r w:rsidRPr="004A1CBA">
        <w:rPr>
          <w:rFonts w:ascii="Arial" w:hAnsi="Arial" w:cs="Arial"/>
          <w:sz w:val="20"/>
          <w:szCs w:val="20"/>
        </w:rPr>
        <w:t>.</w:t>
      </w:r>
    </w:p>
    <w:p w:rsidR="006B0CB0" w:rsidRPr="004A1CBA" w:rsidRDefault="006B0CB0" w:rsidP="006B0CB0">
      <w:pPr>
        <w:pStyle w:val="ListParagraph"/>
        <w:numPr>
          <w:ilvl w:val="0"/>
          <w:numId w:val="12"/>
        </w:numPr>
        <w:rPr>
          <w:rFonts w:ascii="Arial" w:hAnsi="Arial" w:cs="Arial"/>
          <w:sz w:val="20"/>
          <w:szCs w:val="20"/>
        </w:rPr>
      </w:pPr>
      <w:r w:rsidRPr="004A1CBA">
        <w:rPr>
          <w:rFonts w:ascii="Arial" w:hAnsi="Arial" w:cs="Arial"/>
          <w:sz w:val="20"/>
          <w:szCs w:val="20"/>
        </w:rPr>
        <w:t>Many infection definitions require a change from baseline (e.g. symptom is new or increasing). Consider establishing a protocol for determining</w:t>
      </w:r>
      <w:r w:rsidR="003F7A09">
        <w:rPr>
          <w:rFonts w:ascii="Arial" w:hAnsi="Arial" w:cs="Arial"/>
          <w:sz w:val="20"/>
          <w:szCs w:val="20"/>
        </w:rPr>
        <w:t xml:space="preserve"> and documenting </w:t>
      </w:r>
      <w:r w:rsidRPr="004A1CBA">
        <w:rPr>
          <w:rFonts w:ascii="Arial" w:hAnsi="Arial" w:cs="Arial"/>
          <w:sz w:val="20"/>
          <w:szCs w:val="20"/>
        </w:rPr>
        <w:t xml:space="preserve">baseline values. </w:t>
      </w:r>
    </w:p>
    <w:p w:rsidR="006B0CB0" w:rsidRPr="004A1CBA" w:rsidRDefault="0033383C" w:rsidP="006B0CB0">
      <w:pPr>
        <w:pStyle w:val="ListParagraph"/>
        <w:numPr>
          <w:ilvl w:val="0"/>
          <w:numId w:val="12"/>
        </w:numPr>
        <w:rPr>
          <w:rFonts w:ascii="Arial" w:hAnsi="Arial" w:cs="Arial"/>
          <w:sz w:val="20"/>
          <w:szCs w:val="20"/>
        </w:rPr>
      </w:pPr>
      <w:r w:rsidRPr="004A1CBA">
        <w:rPr>
          <w:rFonts w:ascii="Arial" w:hAnsi="Arial" w:cs="Arial"/>
          <w:sz w:val="20"/>
          <w:szCs w:val="20"/>
        </w:rPr>
        <w:t xml:space="preserve">If symptoms </w:t>
      </w:r>
      <w:r w:rsidR="003F7A09">
        <w:rPr>
          <w:rFonts w:ascii="Arial" w:hAnsi="Arial" w:cs="Arial"/>
          <w:sz w:val="20"/>
          <w:szCs w:val="20"/>
        </w:rPr>
        <w:t xml:space="preserve">documented </w:t>
      </w:r>
      <w:r w:rsidRPr="004A1CBA">
        <w:rPr>
          <w:rFonts w:ascii="Arial" w:hAnsi="Arial" w:cs="Arial"/>
          <w:sz w:val="20"/>
          <w:szCs w:val="20"/>
        </w:rPr>
        <w:t xml:space="preserve">on the </w:t>
      </w:r>
      <w:proofErr w:type="spellStart"/>
      <w:r w:rsidRPr="004A1CBA">
        <w:rPr>
          <w:rFonts w:ascii="Arial" w:hAnsi="Arial" w:cs="Arial"/>
          <w:sz w:val="20"/>
          <w:szCs w:val="20"/>
        </w:rPr>
        <w:t>linelist</w:t>
      </w:r>
      <w:proofErr w:type="spellEnd"/>
      <w:r w:rsidRPr="004A1CBA">
        <w:rPr>
          <w:rFonts w:ascii="Arial" w:hAnsi="Arial" w:cs="Arial"/>
          <w:sz w:val="20"/>
          <w:szCs w:val="20"/>
        </w:rPr>
        <w:t xml:space="preserve"> suggest a potential infection, an IP </w:t>
      </w:r>
      <w:r w:rsidR="003F7A09">
        <w:rPr>
          <w:rFonts w:ascii="Arial" w:hAnsi="Arial" w:cs="Arial"/>
          <w:sz w:val="20"/>
          <w:szCs w:val="20"/>
        </w:rPr>
        <w:t xml:space="preserve">should </w:t>
      </w:r>
      <w:r w:rsidRPr="004A1CBA">
        <w:rPr>
          <w:rFonts w:ascii="Arial" w:hAnsi="Arial" w:cs="Arial"/>
          <w:sz w:val="20"/>
          <w:szCs w:val="20"/>
        </w:rPr>
        <w:t xml:space="preserve">complete a worksheet to determine if infection surveillance criteria have been met (see Appendix X). </w:t>
      </w:r>
    </w:p>
    <w:p w:rsidR="000E1949" w:rsidRPr="004A1CBA" w:rsidRDefault="003F7A09" w:rsidP="000E1949">
      <w:pPr>
        <w:pStyle w:val="ListParagraph"/>
        <w:numPr>
          <w:ilvl w:val="0"/>
          <w:numId w:val="12"/>
        </w:numPr>
        <w:rPr>
          <w:rFonts w:ascii="Arial" w:hAnsi="Arial" w:cs="Arial"/>
          <w:sz w:val="20"/>
          <w:szCs w:val="20"/>
        </w:rPr>
      </w:pPr>
      <w:r>
        <w:rPr>
          <w:rFonts w:ascii="Arial" w:hAnsi="Arial" w:cs="Arial"/>
          <w:sz w:val="20"/>
          <w:szCs w:val="20"/>
        </w:rPr>
        <w:t>I</w:t>
      </w:r>
      <w:r w:rsidR="000E1949" w:rsidRPr="004A1CBA">
        <w:rPr>
          <w:rFonts w:ascii="Arial" w:hAnsi="Arial" w:cs="Arial"/>
          <w:sz w:val="20"/>
          <w:szCs w:val="20"/>
        </w:rPr>
        <w:t xml:space="preserve">nfection surveillance definitions should not be based on a single piece of evidence; clinical presentation and microbiologic/radiologic evidence </w:t>
      </w:r>
      <w:r>
        <w:rPr>
          <w:rFonts w:ascii="Arial" w:hAnsi="Arial" w:cs="Arial"/>
          <w:sz w:val="20"/>
          <w:szCs w:val="20"/>
        </w:rPr>
        <w:t xml:space="preserve">must </w:t>
      </w:r>
      <w:r w:rsidR="000E1949" w:rsidRPr="004A1CBA">
        <w:rPr>
          <w:rFonts w:ascii="Arial" w:hAnsi="Arial" w:cs="Arial"/>
          <w:sz w:val="20"/>
          <w:szCs w:val="20"/>
        </w:rPr>
        <w:t>be considered</w:t>
      </w:r>
      <w:r>
        <w:rPr>
          <w:rFonts w:ascii="Arial" w:hAnsi="Arial" w:cs="Arial"/>
          <w:sz w:val="20"/>
          <w:szCs w:val="20"/>
        </w:rPr>
        <w:t xml:space="preserve"> if available</w:t>
      </w:r>
      <w:r w:rsidR="000E1949" w:rsidRPr="004A1CBA">
        <w:rPr>
          <w:rFonts w:ascii="Arial" w:hAnsi="Arial" w:cs="Arial"/>
          <w:sz w:val="20"/>
          <w:szCs w:val="20"/>
        </w:rPr>
        <w:t>.</w:t>
      </w:r>
    </w:p>
    <w:p w:rsidR="004A1CBA" w:rsidRPr="004A1CBA" w:rsidRDefault="004A1CBA" w:rsidP="00E551CF">
      <w:pPr>
        <w:rPr>
          <w:rFonts w:ascii="Arial" w:hAnsi="Arial" w:cs="Arial"/>
          <w:sz w:val="20"/>
          <w:szCs w:val="20"/>
          <w:u w:val="single"/>
        </w:rPr>
      </w:pPr>
    </w:p>
    <w:p w:rsidR="00E26A64" w:rsidRPr="004A1CBA" w:rsidRDefault="00E26A64" w:rsidP="002F1E38">
      <w:pPr>
        <w:pStyle w:val="Heading3"/>
      </w:pPr>
      <w:r w:rsidRPr="004A1CBA">
        <w:t>Sources of resident</w:t>
      </w:r>
      <w:r w:rsidR="00B82E68" w:rsidRPr="004A1CBA">
        <w:t xml:space="preserve"> </w:t>
      </w:r>
      <w:r w:rsidRPr="004A1CBA">
        <w:t>data</w:t>
      </w:r>
    </w:p>
    <w:p w:rsidR="003E3750" w:rsidRPr="004A1CBA" w:rsidRDefault="003F7A09" w:rsidP="004A1CBA">
      <w:pPr>
        <w:pStyle w:val="ListParagraph"/>
        <w:numPr>
          <w:ilvl w:val="0"/>
          <w:numId w:val="14"/>
        </w:numPr>
        <w:rPr>
          <w:rFonts w:ascii="Arial" w:hAnsi="Arial" w:cs="Arial"/>
          <w:sz w:val="20"/>
          <w:szCs w:val="20"/>
        </w:rPr>
      </w:pPr>
      <w:r>
        <w:rPr>
          <w:rFonts w:ascii="Arial" w:hAnsi="Arial" w:cs="Arial"/>
          <w:sz w:val="20"/>
          <w:szCs w:val="20"/>
        </w:rPr>
        <w:t>S</w:t>
      </w:r>
      <w:r w:rsidR="003E3750" w:rsidRPr="004A1CBA">
        <w:rPr>
          <w:rFonts w:ascii="Arial" w:hAnsi="Arial" w:cs="Arial"/>
          <w:sz w:val="20"/>
          <w:szCs w:val="20"/>
        </w:rPr>
        <w:t xml:space="preserve">ources of resident data are </w:t>
      </w:r>
      <w:r>
        <w:rPr>
          <w:rFonts w:ascii="Arial" w:hAnsi="Arial" w:cs="Arial"/>
          <w:sz w:val="20"/>
          <w:szCs w:val="20"/>
        </w:rPr>
        <w:t>often documented</w:t>
      </w:r>
      <w:r w:rsidR="003E3750" w:rsidRPr="004A1CBA">
        <w:rPr>
          <w:rFonts w:ascii="Arial" w:hAnsi="Arial" w:cs="Arial"/>
          <w:sz w:val="20"/>
          <w:szCs w:val="20"/>
        </w:rPr>
        <w:t xml:space="preserve"> in a variety of locations (e.g. electronic medical record progress notes, paper logs, 24-hour board). Ensure all relevant data sources are reviewed for evidence of resident infection.</w:t>
      </w:r>
    </w:p>
    <w:p w:rsidR="004A1CBA" w:rsidRPr="004A1CBA" w:rsidRDefault="004A1CBA" w:rsidP="00E551CF">
      <w:pPr>
        <w:rPr>
          <w:rFonts w:ascii="Arial" w:hAnsi="Arial" w:cs="Arial"/>
          <w:sz w:val="20"/>
          <w:szCs w:val="20"/>
          <w:u w:val="single"/>
        </w:rPr>
      </w:pPr>
    </w:p>
    <w:p w:rsidR="00146837" w:rsidRPr="002F1E38" w:rsidRDefault="000E1949" w:rsidP="002F1E38">
      <w:pPr>
        <w:pStyle w:val="Heading3"/>
      </w:pPr>
      <w:r w:rsidRPr="002F1E38">
        <w:t>Device use</w:t>
      </w:r>
    </w:p>
    <w:p w:rsidR="00BF6F34" w:rsidRPr="004A1CBA" w:rsidRDefault="00BF6F34" w:rsidP="00741611">
      <w:pPr>
        <w:pStyle w:val="ListParagraph"/>
        <w:numPr>
          <w:ilvl w:val="0"/>
          <w:numId w:val="6"/>
        </w:numPr>
        <w:rPr>
          <w:rFonts w:ascii="Arial" w:hAnsi="Arial" w:cs="Arial"/>
          <w:sz w:val="20"/>
          <w:szCs w:val="20"/>
        </w:rPr>
      </w:pPr>
      <w:r w:rsidRPr="004A1CBA">
        <w:rPr>
          <w:rFonts w:ascii="Arial" w:hAnsi="Arial" w:cs="Arial"/>
          <w:sz w:val="20"/>
          <w:szCs w:val="20"/>
        </w:rPr>
        <w:t>Clear</w:t>
      </w:r>
      <w:r w:rsidR="00461888" w:rsidRPr="004A1CBA">
        <w:rPr>
          <w:rFonts w:ascii="Arial" w:hAnsi="Arial" w:cs="Arial"/>
          <w:sz w:val="20"/>
          <w:szCs w:val="20"/>
        </w:rPr>
        <w:t>ly</w:t>
      </w:r>
      <w:r w:rsidRPr="004A1CBA">
        <w:rPr>
          <w:rFonts w:ascii="Arial" w:hAnsi="Arial" w:cs="Arial"/>
          <w:sz w:val="20"/>
          <w:szCs w:val="20"/>
        </w:rPr>
        <w:t xml:space="preserve"> d</w:t>
      </w:r>
      <w:r w:rsidR="00CD0CBC" w:rsidRPr="004A1CBA">
        <w:rPr>
          <w:rFonts w:ascii="Arial" w:hAnsi="Arial" w:cs="Arial"/>
          <w:sz w:val="20"/>
          <w:szCs w:val="20"/>
        </w:rPr>
        <w:t>ocument</w:t>
      </w:r>
      <w:r w:rsidR="00461888" w:rsidRPr="004A1CBA">
        <w:rPr>
          <w:rFonts w:ascii="Arial" w:hAnsi="Arial" w:cs="Arial"/>
          <w:sz w:val="20"/>
          <w:szCs w:val="20"/>
        </w:rPr>
        <w:t xml:space="preserve"> </w:t>
      </w:r>
      <w:r w:rsidR="003F7A09">
        <w:rPr>
          <w:rFonts w:ascii="Arial" w:hAnsi="Arial" w:cs="Arial"/>
          <w:sz w:val="20"/>
          <w:szCs w:val="20"/>
        </w:rPr>
        <w:t xml:space="preserve">the </w:t>
      </w:r>
      <w:r w:rsidR="00461888" w:rsidRPr="004A1CBA">
        <w:rPr>
          <w:rFonts w:ascii="Arial" w:hAnsi="Arial" w:cs="Arial"/>
          <w:sz w:val="20"/>
          <w:szCs w:val="20"/>
        </w:rPr>
        <w:t>presence</w:t>
      </w:r>
      <w:r w:rsidR="00CD0CBC" w:rsidRPr="004A1CBA">
        <w:rPr>
          <w:rFonts w:ascii="Arial" w:hAnsi="Arial" w:cs="Arial"/>
          <w:sz w:val="20"/>
          <w:szCs w:val="20"/>
        </w:rPr>
        <w:t xml:space="preserve"> of </w:t>
      </w:r>
      <w:r w:rsidR="0010585D" w:rsidRPr="004A1CBA">
        <w:rPr>
          <w:rFonts w:ascii="Arial" w:hAnsi="Arial" w:cs="Arial"/>
          <w:sz w:val="20"/>
          <w:szCs w:val="20"/>
        </w:rPr>
        <w:t xml:space="preserve">urinary </w:t>
      </w:r>
      <w:r w:rsidR="00CD0CBC" w:rsidRPr="004A1CBA">
        <w:rPr>
          <w:rFonts w:ascii="Arial" w:hAnsi="Arial" w:cs="Arial"/>
          <w:sz w:val="20"/>
          <w:szCs w:val="20"/>
        </w:rPr>
        <w:t>catheter</w:t>
      </w:r>
      <w:r w:rsidR="00461888" w:rsidRPr="004A1CBA">
        <w:rPr>
          <w:rFonts w:ascii="Arial" w:hAnsi="Arial" w:cs="Arial"/>
          <w:sz w:val="20"/>
          <w:szCs w:val="20"/>
        </w:rPr>
        <w:t>s.</w:t>
      </w:r>
      <w:r w:rsidRPr="004A1CBA">
        <w:rPr>
          <w:rFonts w:ascii="Arial" w:hAnsi="Arial" w:cs="Arial"/>
          <w:sz w:val="20"/>
          <w:szCs w:val="20"/>
        </w:rPr>
        <w:t xml:space="preserve"> </w:t>
      </w:r>
      <w:r w:rsidR="00461888" w:rsidRPr="004A1CBA">
        <w:rPr>
          <w:rFonts w:ascii="Arial" w:hAnsi="Arial" w:cs="Arial"/>
          <w:sz w:val="20"/>
          <w:szCs w:val="20"/>
        </w:rPr>
        <w:t xml:space="preserve">Note that CDC </w:t>
      </w:r>
      <w:r w:rsidRPr="004A1CBA">
        <w:rPr>
          <w:rFonts w:ascii="Arial" w:hAnsi="Arial" w:cs="Arial"/>
          <w:sz w:val="20"/>
          <w:szCs w:val="20"/>
        </w:rPr>
        <w:t>surveillance definitions</w:t>
      </w:r>
      <w:r w:rsidR="0010585D" w:rsidRPr="004A1CBA">
        <w:rPr>
          <w:rFonts w:ascii="Arial" w:hAnsi="Arial" w:cs="Arial"/>
          <w:sz w:val="20"/>
          <w:szCs w:val="20"/>
        </w:rPr>
        <w:t xml:space="preserve"> for urinary tract infections</w:t>
      </w:r>
      <w:r w:rsidR="00461888" w:rsidRPr="004A1CBA">
        <w:rPr>
          <w:rFonts w:ascii="Arial" w:hAnsi="Arial" w:cs="Arial"/>
          <w:sz w:val="20"/>
          <w:szCs w:val="20"/>
        </w:rPr>
        <w:t xml:space="preserve"> </w:t>
      </w:r>
      <w:r w:rsidR="003F7A09">
        <w:rPr>
          <w:rFonts w:ascii="Arial" w:hAnsi="Arial" w:cs="Arial"/>
          <w:sz w:val="20"/>
          <w:szCs w:val="20"/>
        </w:rPr>
        <w:t xml:space="preserve">(UTI) </w:t>
      </w:r>
      <w:r w:rsidR="00461888" w:rsidRPr="004A1CBA">
        <w:rPr>
          <w:rFonts w:ascii="Arial" w:hAnsi="Arial" w:cs="Arial"/>
          <w:sz w:val="20"/>
          <w:szCs w:val="20"/>
        </w:rPr>
        <w:t>are different for residents with urinary catheters compared to those without</w:t>
      </w:r>
      <w:r w:rsidR="00CD0CBC" w:rsidRPr="004A1CBA">
        <w:rPr>
          <w:rFonts w:ascii="Arial" w:hAnsi="Arial" w:cs="Arial"/>
          <w:sz w:val="20"/>
          <w:szCs w:val="20"/>
        </w:rPr>
        <w:t>.</w:t>
      </w:r>
    </w:p>
    <w:p w:rsidR="004A1CBA" w:rsidRPr="004A1CBA" w:rsidRDefault="004A1CBA" w:rsidP="000E1949">
      <w:pPr>
        <w:rPr>
          <w:rFonts w:ascii="Arial" w:hAnsi="Arial" w:cs="Arial"/>
          <w:sz w:val="20"/>
          <w:szCs w:val="20"/>
          <w:u w:val="single"/>
        </w:rPr>
      </w:pPr>
    </w:p>
    <w:p w:rsidR="000E1949" w:rsidRPr="004A1CBA" w:rsidRDefault="000E1949" w:rsidP="002F1E38">
      <w:pPr>
        <w:pStyle w:val="Heading3"/>
      </w:pPr>
      <w:r w:rsidRPr="004A1CBA">
        <w:t>Microbiology cultures</w:t>
      </w:r>
    </w:p>
    <w:p w:rsidR="00051F72" w:rsidRPr="004A1CBA" w:rsidRDefault="00461888" w:rsidP="00051F72">
      <w:pPr>
        <w:pStyle w:val="ListParagraph"/>
        <w:numPr>
          <w:ilvl w:val="0"/>
          <w:numId w:val="5"/>
        </w:numPr>
        <w:spacing w:after="200"/>
        <w:contextualSpacing/>
        <w:rPr>
          <w:rFonts w:ascii="Arial" w:hAnsi="Arial" w:cs="Arial"/>
          <w:sz w:val="20"/>
          <w:szCs w:val="20"/>
        </w:rPr>
      </w:pPr>
      <w:r w:rsidRPr="004A1CBA">
        <w:rPr>
          <w:rFonts w:ascii="Arial" w:hAnsi="Arial" w:cs="Arial"/>
          <w:sz w:val="20"/>
          <w:szCs w:val="20"/>
        </w:rPr>
        <w:t xml:space="preserve">The </w:t>
      </w:r>
      <w:r w:rsidR="00051F72" w:rsidRPr="004A1CBA">
        <w:rPr>
          <w:rFonts w:ascii="Arial" w:hAnsi="Arial" w:cs="Arial"/>
          <w:sz w:val="20"/>
          <w:szCs w:val="20"/>
        </w:rPr>
        <w:t xml:space="preserve">microorganism species and colony counts </w:t>
      </w:r>
      <w:r w:rsidR="0058470C" w:rsidRPr="004A1CBA">
        <w:rPr>
          <w:rFonts w:ascii="Arial" w:hAnsi="Arial" w:cs="Arial"/>
          <w:sz w:val="20"/>
          <w:szCs w:val="20"/>
        </w:rPr>
        <w:t>from urine culture</w:t>
      </w:r>
      <w:r w:rsidR="003F7A09">
        <w:rPr>
          <w:rFonts w:ascii="Arial" w:hAnsi="Arial" w:cs="Arial"/>
          <w:sz w:val="20"/>
          <w:szCs w:val="20"/>
        </w:rPr>
        <w:t>s</w:t>
      </w:r>
      <w:r w:rsidR="0058470C" w:rsidRPr="004A1CBA">
        <w:rPr>
          <w:rFonts w:ascii="Arial" w:hAnsi="Arial" w:cs="Arial"/>
          <w:sz w:val="20"/>
          <w:szCs w:val="20"/>
        </w:rPr>
        <w:t xml:space="preserve"> </w:t>
      </w:r>
      <w:r w:rsidR="003F7A09">
        <w:rPr>
          <w:rFonts w:ascii="Arial" w:hAnsi="Arial" w:cs="Arial"/>
          <w:sz w:val="20"/>
          <w:szCs w:val="20"/>
        </w:rPr>
        <w:t xml:space="preserve">should be </w:t>
      </w:r>
      <w:r w:rsidR="00051F72" w:rsidRPr="004A1CBA">
        <w:rPr>
          <w:rFonts w:ascii="Arial" w:hAnsi="Arial" w:cs="Arial"/>
          <w:sz w:val="20"/>
          <w:szCs w:val="20"/>
        </w:rPr>
        <w:t>include</w:t>
      </w:r>
      <w:r w:rsidR="003F7A09">
        <w:rPr>
          <w:rFonts w:ascii="Arial" w:hAnsi="Arial" w:cs="Arial"/>
          <w:sz w:val="20"/>
          <w:szCs w:val="20"/>
        </w:rPr>
        <w:t>d</w:t>
      </w:r>
      <w:r w:rsidR="00051F72" w:rsidRPr="004A1CBA">
        <w:rPr>
          <w:rFonts w:ascii="Arial" w:hAnsi="Arial" w:cs="Arial"/>
          <w:sz w:val="20"/>
          <w:szCs w:val="20"/>
        </w:rPr>
        <w:t xml:space="preserve"> on </w:t>
      </w:r>
      <w:r w:rsidR="0058470C" w:rsidRPr="004A1CBA">
        <w:rPr>
          <w:rFonts w:ascii="Arial" w:hAnsi="Arial" w:cs="Arial"/>
          <w:sz w:val="20"/>
          <w:szCs w:val="20"/>
        </w:rPr>
        <w:t xml:space="preserve">a </w:t>
      </w:r>
      <w:r w:rsidR="00051F72" w:rsidRPr="004A1CBA">
        <w:rPr>
          <w:rFonts w:ascii="Arial" w:hAnsi="Arial" w:cs="Arial"/>
          <w:sz w:val="20"/>
          <w:szCs w:val="20"/>
        </w:rPr>
        <w:t xml:space="preserve">UTI </w:t>
      </w:r>
      <w:proofErr w:type="spellStart"/>
      <w:r w:rsidR="00051F72" w:rsidRPr="004A1CBA">
        <w:rPr>
          <w:rFonts w:ascii="Arial" w:hAnsi="Arial" w:cs="Arial"/>
          <w:sz w:val="20"/>
          <w:szCs w:val="20"/>
        </w:rPr>
        <w:t>linelist</w:t>
      </w:r>
      <w:proofErr w:type="spellEnd"/>
      <w:r w:rsidR="00051F72" w:rsidRPr="004A1CBA">
        <w:rPr>
          <w:rFonts w:ascii="Arial" w:hAnsi="Arial" w:cs="Arial"/>
          <w:sz w:val="20"/>
          <w:szCs w:val="20"/>
        </w:rPr>
        <w:t xml:space="preserve">, as </w:t>
      </w:r>
      <w:r w:rsidRPr="004A1CBA">
        <w:rPr>
          <w:rFonts w:ascii="Arial" w:hAnsi="Arial" w:cs="Arial"/>
          <w:sz w:val="20"/>
          <w:szCs w:val="20"/>
        </w:rPr>
        <w:t>CDC</w:t>
      </w:r>
      <w:r w:rsidR="00051F72" w:rsidRPr="004A1CBA">
        <w:rPr>
          <w:rFonts w:ascii="Arial" w:hAnsi="Arial" w:cs="Arial"/>
          <w:sz w:val="20"/>
          <w:szCs w:val="20"/>
        </w:rPr>
        <w:t xml:space="preserve"> </w:t>
      </w:r>
      <w:r w:rsidR="003F7A09">
        <w:rPr>
          <w:rFonts w:ascii="Arial" w:hAnsi="Arial" w:cs="Arial"/>
          <w:sz w:val="20"/>
          <w:szCs w:val="20"/>
        </w:rPr>
        <w:t>UTI</w:t>
      </w:r>
      <w:r w:rsidRPr="004A1CBA">
        <w:rPr>
          <w:rFonts w:ascii="Arial" w:hAnsi="Arial" w:cs="Arial"/>
          <w:sz w:val="20"/>
          <w:szCs w:val="20"/>
        </w:rPr>
        <w:t xml:space="preserve"> </w:t>
      </w:r>
      <w:r w:rsidR="00051F72" w:rsidRPr="004A1CBA">
        <w:rPr>
          <w:rFonts w:ascii="Arial" w:hAnsi="Arial" w:cs="Arial"/>
          <w:sz w:val="20"/>
          <w:szCs w:val="20"/>
        </w:rPr>
        <w:t>definitions use different parameters based on the method of urine specimen collection:</w:t>
      </w:r>
    </w:p>
    <w:p w:rsidR="00051F72" w:rsidRPr="004A1CBA" w:rsidRDefault="00051F72" w:rsidP="00051F72">
      <w:pPr>
        <w:pStyle w:val="ListParagraph"/>
        <w:numPr>
          <w:ilvl w:val="1"/>
          <w:numId w:val="9"/>
        </w:numPr>
        <w:spacing w:after="200"/>
        <w:contextualSpacing/>
        <w:rPr>
          <w:rFonts w:ascii="Arial" w:hAnsi="Arial" w:cs="Arial"/>
          <w:sz w:val="20"/>
          <w:szCs w:val="20"/>
        </w:rPr>
      </w:pPr>
      <w:r w:rsidRPr="004A1CBA">
        <w:rPr>
          <w:rFonts w:ascii="Arial" w:hAnsi="Arial" w:cs="Arial"/>
          <w:sz w:val="20"/>
          <w:szCs w:val="20"/>
        </w:rPr>
        <w:t>At least 10</w:t>
      </w:r>
      <w:r w:rsidRPr="004A1CBA">
        <w:rPr>
          <w:rFonts w:ascii="Arial" w:hAnsi="Arial" w:cs="Arial"/>
          <w:sz w:val="20"/>
          <w:szCs w:val="20"/>
          <w:vertAlign w:val="superscript"/>
        </w:rPr>
        <w:t>5</w:t>
      </w:r>
      <w:r w:rsidRPr="004A1CBA">
        <w:rPr>
          <w:rFonts w:ascii="Arial" w:hAnsi="Arial" w:cs="Arial"/>
          <w:sz w:val="20"/>
          <w:szCs w:val="20"/>
        </w:rPr>
        <w:t xml:space="preserve"> </w:t>
      </w:r>
      <w:r w:rsidR="000D72B9" w:rsidRPr="004A1CBA">
        <w:rPr>
          <w:rFonts w:ascii="Arial" w:hAnsi="Arial" w:cs="Arial"/>
          <w:sz w:val="20"/>
          <w:szCs w:val="20"/>
        </w:rPr>
        <w:t>colony-forming units (</w:t>
      </w:r>
      <w:proofErr w:type="spellStart"/>
      <w:r w:rsidRPr="004A1CBA">
        <w:rPr>
          <w:rFonts w:ascii="Arial" w:hAnsi="Arial" w:cs="Arial"/>
          <w:sz w:val="20"/>
          <w:szCs w:val="20"/>
        </w:rPr>
        <w:t>cfu</w:t>
      </w:r>
      <w:proofErr w:type="spellEnd"/>
      <w:r w:rsidR="000D72B9" w:rsidRPr="004A1CBA">
        <w:rPr>
          <w:rFonts w:ascii="Arial" w:hAnsi="Arial" w:cs="Arial"/>
          <w:sz w:val="20"/>
          <w:szCs w:val="20"/>
        </w:rPr>
        <w:t>)</w:t>
      </w:r>
      <w:r w:rsidRPr="004A1CBA">
        <w:rPr>
          <w:rFonts w:ascii="Arial" w:hAnsi="Arial" w:cs="Arial"/>
          <w:sz w:val="20"/>
          <w:szCs w:val="20"/>
        </w:rPr>
        <w:t>/mL of no more than 2 species of microorganisms in a voided urine sample</w:t>
      </w:r>
    </w:p>
    <w:p w:rsidR="00051F72" w:rsidRPr="004A1CBA" w:rsidRDefault="00051F72" w:rsidP="00051F72">
      <w:pPr>
        <w:pStyle w:val="ListParagraph"/>
        <w:numPr>
          <w:ilvl w:val="1"/>
          <w:numId w:val="9"/>
        </w:numPr>
        <w:spacing w:after="200"/>
        <w:contextualSpacing/>
        <w:rPr>
          <w:rFonts w:ascii="Arial" w:hAnsi="Arial" w:cs="Arial"/>
          <w:sz w:val="20"/>
          <w:szCs w:val="20"/>
        </w:rPr>
      </w:pPr>
      <w:r w:rsidRPr="004A1CBA">
        <w:rPr>
          <w:rFonts w:ascii="Arial" w:hAnsi="Arial" w:cs="Arial"/>
          <w:sz w:val="20"/>
          <w:szCs w:val="20"/>
        </w:rPr>
        <w:t>At least 10</w:t>
      </w:r>
      <w:r w:rsidRPr="004A1CBA">
        <w:rPr>
          <w:rFonts w:ascii="Arial" w:hAnsi="Arial" w:cs="Arial"/>
          <w:sz w:val="20"/>
          <w:szCs w:val="20"/>
          <w:vertAlign w:val="superscript"/>
        </w:rPr>
        <w:t>2</w:t>
      </w:r>
      <w:r w:rsidRPr="004A1CBA">
        <w:rPr>
          <w:rFonts w:ascii="Arial" w:hAnsi="Arial" w:cs="Arial"/>
          <w:sz w:val="20"/>
          <w:szCs w:val="20"/>
        </w:rPr>
        <w:t xml:space="preserve"> </w:t>
      </w:r>
      <w:proofErr w:type="spellStart"/>
      <w:r w:rsidRPr="004A1CBA">
        <w:rPr>
          <w:rFonts w:ascii="Arial" w:hAnsi="Arial" w:cs="Arial"/>
          <w:sz w:val="20"/>
          <w:szCs w:val="20"/>
        </w:rPr>
        <w:t>cfu</w:t>
      </w:r>
      <w:proofErr w:type="spellEnd"/>
      <w:r w:rsidRPr="004A1CBA">
        <w:rPr>
          <w:rFonts w:ascii="Arial" w:hAnsi="Arial" w:cs="Arial"/>
          <w:sz w:val="20"/>
          <w:szCs w:val="20"/>
        </w:rPr>
        <w:t xml:space="preserve">/mL of any number of organisms in a </w:t>
      </w:r>
      <w:r w:rsidR="00637352" w:rsidRPr="004A1CBA">
        <w:rPr>
          <w:rFonts w:ascii="Arial" w:hAnsi="Arial" w:cs="Arial"/>
          <w:sz w:val="20"/>
          <w:szCs w:val="20"/>
        </w:rPr>
        <w:t xml:space="preserve">urine sample </w:t>
      </w:r>
      <w:r w:rsidRPr="004A1CBA">
        <w:rPr>
          <w:rFonts w:ascii="Arial" w:hAnsi="Arial" w:cs="Arial"/>
          <w:sz w:val="20"/>
          <w:szCs w:val="20"/>
        </w:rPr>
        <w:t>collected by in-and-out catheter</w:t>
      </w:r>
    </w:p>
    <w:p w:rsidR="004A1CBA" w:rsidRPr="002F1E38" w:rsidRDefault="0058470C" w:rsidP="00A94EE5">
      <w:pPr>
        <w:pStyle w:val="ListParagraph"/>
        <w:numPr>
          <w:ilvl w:val="1"/>
          <w:numId w:val="9"/>
        </w:numPr>
        <w:spacing w:after="200"/>
        <w:contextualSpacing/>
        <w:rPr>
          <w:rFonts w:ascii="Arial" w:hAnsi="Arial" w:cs="Arial"/>
          <w:sz w:val="20"/>
          <w:szCs w:val="20"/>
        </w:rPr>
      </w:pPr>
      <w:r w:rsidRPr="004A1CBA">
        <w:rPr>
          <w:rFonts w:ascii="Arial" w:hAnsi="Arial" w:cs="Arial"/>
          <w:sz w:val="20"/>
          <w:szCs w:val="20"/>
        </w:rPr>
        <w:t xml:space="preserve">At </w:t>
      </w:r>
      <w:r w:rsidR="00051F72" w:rsidRPr="004A1CBA">
        <w:rPr>
          <w:rFonts w:ascii="Arial" w:hAnsi="Arial" w:cs="Arial"/>
          <w:sz w:val="20"/>
          <w:szCs w:val="20"/>
        </w:rPr>
        <w:t>least 10</w:t>
      </w:r>
      <w:r w:rsidR="00051F72" w:rsidRPr="004A1CBA">
        <w:rPr>
          <w:rFonts w:ascii="Arial" w:hAnsi="Arial" w:cs="Arial"/>
          <w:sz w:val="20"/>
          <w:szCs w:val="20"/>
          <w:vertAlign w:val="superscript"/>
        </w:rPr>
        <w:t>5</w:t>
      </w:r>
      <w:r w:rsidR="00051F72" w:rsidRPr="004A1CBA">
        <w:rPr>
          <w:rFonts w:ascii="Arial" w:hAnsi="Arial" w:cs="Arial"/>
          <w:sz w:val="20"/>
          <w:szCs w:val="20"/>
        </w:rPr>
        <w:t xml:space="preserve"> </w:t>
      </w:r>
      <w:proofErr w:type="spellStart"/>
      <w:r w:rsidR="00051F72" w:rsidRPr="004A1CBA">
        <w:rPr>
          <w:rFonts w:ascii="Arial" w:hAnsi="Arial" w:cs="Arial"/>
          <w:sz w:val="20"/>
          <w:szCs w:val="20"/>
        </w:rPr>
        <w:t>cfu</w:t>
      </w:r>
      <w:proofErr w:type="spellEnd"/>
      <w:r w:rsidR="00051F72" w:rsidRPr="004A1CBA">
        <w:rPr>
          <w:rFonts w:ascii="Arial" w:hAnsi="Arial" w:cs="Arial"/>
          <w:sz w:val="20"/>
          <w:szCs w:val="20"/>
        </w:rPr>
        <w:t>/mL of any organism</w:t>
      </w:r>
      <w:r w:rsidR="00637352" w:rsidRPr="004A1CBA">
        <w:rPr>
          <w:rFonts w:ascii="Arial" w:hAnsi="Arial" w:cs="Arial"/>
          <w:sz w:val="20"/>
          <w:szCs w:val="20"/>
        </w:rPr>
        <w:t>(s)</w:t>
      </w:r>
      <w:r w:rsidRPr="004A1CBA">
        <w:rPr>
          <w:rFonts w:ascii="Arial" w:hAnsi="Arial" w:cs="Arial"/>
          <w:sz w:val="20"/>
          <w:szCs w:val="20"/>
        </w:rPr>
        <w:t xml:space="preserve"> in </w:t>
      </w:r>
      <w:r w:rsidR="00637352" w:rsidRPr="004A1CBA">
        <w:rPr>
          <w:rFonts w:ascii="Arial" w:hAnsi="Arial" w:cs="Arial"/>
          <w:sz w:val="20"/>
          <w:szCs w:val="20"/>
        </w:rPr>
        <w:t>a urine sample collected by an indwelling urinary catheter</w:t>
      </w:r>
    </w:p>
    <w:p w:rsidR="00C77C2C" w:rsidRPr="004A1CBA" w:rsidRDefault="00031ED7" w:rsidP="002F1E38">
      <w:pPr>
        <w:pStyle w:val="Heading2"/>
        <w:rPr>
          <w:u w:val="single"/>
        </w:rPr>
      </w:pPr>
      <w:r w:rsidRPr="004A1CBA">
        <w:t xml:space="preserve">Criteria </w:t>
      </w:r>
      <w:r w:rsidR="000E1949" w:rsidRPr="004A1CBA">
        <w:t>not used to</w:t>
      </w:r>
      <w:r w:rsidRPr="004A1CBA">
        <w:t xml:space="preserve"> meet standardized </w:t>
      </w:r>
      <w:r w:rsidR="000E1949" w:rsidRPr="004A1CBA">
        <w:t xml:space="preserve">infection </w:t>
      </w:r>
      <w:r w:rsidR="0027340C">
        <w:t xml:space="preserve">surveillance </w:t>
      </w:r>
      <w:r w:rsidRPr="004A1CBA">
        <w:t>def</w:t>
      </w:r>
      <w:r w:rsidR="000E1949" w:rsidRPr="004A1CBA">
        <w:t>initio</w:t>
      </w:r>
      <w:r w:rsidRPr="004A1CBA">
        <w:t>n</w:t>
      </w:r>
      <w:r w:rsidR="000E1949" w:rsidRPr="004A1CBA">
        <w:t>s</w:t>
      </w:r>
    </w:p>
    <w:p w:rsidR="00A94EE5" w:rsidRPr="004A1CBA" w:rsidRDefault="00A94EE5" w:rsidP="00A94EE5">
      <w:pPr>
        <w:rPr>
          <w:rFonts w:ascii="Arial" w:hAnsi="Arial" w:cs="Arial"/>
          <w:sz w:val="20"/>
          <w:szCs w:val="20"/>
        </w:rPr>
      </w:pPr>
      <w:r w:rsidRPr="004A1CBA">
        <w:rPr>
          <w:rFonts w:ascii="Arial" w:hAnsi="Arial" w:cs="Arial"/>
          <w:sz w:val="20"/>
          <w:szCs w:val="20"/>
        </w:rPr>
        <w:t xml:space="preserve">Some </w:t>
      </w:r>
      <w:r w:rsidR="004E00CA" w:rsidRPr="004A1CBA">
        <w:rPr>
          <w:rFonts w:ascii="Arial" w:hAnsi="Arial" w:cs="Arial"/>
          <w:sz w:val="20"/>
          <w:szCs w:val="20"/>
        </w:rPr>
        <w:t xml:space="preserve">changes in </w:t>
      </w:r>
      <w:r w:rsidRPr="004A1CBA">
        <w:rPr>
          <w:rFonts w:ascii="Arial" w:hAnsi="Arial" w:cs="Arial"/>
          <w:sz w:val="20"/>
          <w:szCs w:val="20"/>
        </w:rPr>
        <w:t xml:space="preserve">resident </w:t>
      </w:r>
      <w:r w:rsidR="004E00CA" w:rsidRPr="004A1CBA">
        <w:rPr>
          <w:rFonts w:ascii="Arial" w:hAnsi="Arial" w:cs="Arial"/>
          <w:sz w:val="20"/>
          <w:szCs w:val="20"/>
        </w:rPr>
        <w:t>status</w:t>
      </w:r>
      <w:r w:rsidR="00491891">
        <w:rPr>
          <w:rFonts w:ascii="Arial" w:hAnsi="Arial" w:cs="Arial"/>
          <w:sz w:val="20"/>
          <w:szCs w:val="20"/>
        </w:rPr>
        <w:t>, including signs and symptoms,</w:t>
      </w:r>
      <w:r w:rsidR="004E00CA" w:rsidRPr="004A1CBA">
        <w:rPr>
          <w:rFonts w:ascii="Arial" w:hAnsi="Arial" w:cs="Arial"/>
          <w:sz w:val="20"/>
          <w:szCs w:val="20"/>
        </w:rPr>
        <w:t xml:space="preserve"> have historically been included on infection </w:t>
      </w:r>
      <w:proofErr w:type="spellStart"/>
      <w:r w:rsidR="004E00CA" w:rsidRPr="004A1CBA">
        <w:rPr>
          <w:rFonts w:ascii="Arial" w:hAnsi="Arial" w:cs="Arial"/>
          <w:sz w:val="20"/>
          <w:szCs w:val="20"/>
        </w:rPr>
        <w:t>linelists</w:t>
      </w:r>
      <w:proofErr w:type="spellEnd"/>
      <w:r w:rsidR="004E00CA" w:rsidRPr="004A1CBA">
        <w:rPr>
          <w:rFonts w:ascii="Arial" w:hAnsi="Arial" w:cs="Arial"/>
          <w:sz w:val="20"/>
          <w:szCs w:val="20"/>
        </w:rPr>
        <w:t xml:space="preserve">, </w:t>
      </w:r>
      <w:r w:rsidR="0027340C">
        <w:rPr>
          <w:rFonts w:ascii="Arial" w:hAnsi="Arial" w:cs="Arial"/>
          <w:sz w:val="20"/>
          <w:szCs w:val="20"/>
        </w:rPr>
        <w:t xml:space="preserve">because they </w:t>
      </w:r>
      <w:r w:rsidR="004E00CA" w:rsidRPr="004A1CBA">
        <w:rPr>
          <w:rFonts w:ascii="Arial" w:hAnsi="Arial" w:cs="Arial"/>
          <w:sz w:val="20"/>
          <w:szCs w:val="20"/>
        </w:rPr>
        <w:t xml:space="preserve">were thought to be indicative of a potential infection. </w:t>
      </w:r>
      <w:r w:rsidR="00461888" w:rsidRPr="004A1CBA">
        <w:rPr>
          <w:rFonts w:ascii="Arial" w:hAnsi="Arial" w:cs="Arial"/>
          <w:sz w:val="20"/>
          <w:szCs w:val="20"/>
        </w:rPr>
        <w:t xml:space="preserve">The </w:t>
      </w:r>
      <w:r w:rsidR="004E00CA" w:rsidRPr="004A1CBA">
        <w:rPr>
          <w:rFonts w:ascii="Arial" w:hAnsi="Arial" w:cs="Arial"/>
          <w:sz w:val="20"/>
          <w:szCs w:val="20"/>
        </w:rPr>
        <w:t xml:space="preserve">updated infection surveillance definitions are largely based on symptoms localizing to a specific </w:t>
      </w:r>
      <w:r w:rsidR="00224983" w:rsidRPr="004A1CBA">
        <w:rPr>
          <w:rFonts w:ascii="Arial" w:hAnsi="Arial" w:cs="Arial"/>
          <w:sz w:val="20"/>
          <w:szCs w:val="20"/>
        </w:rPr>
        <w:t xml:space="preserve">body </w:t>
      </w:r>
      <w:r w:rsidR="004E00CA" w:rsidRPr="004A1CBA">
        <w:rPr>
          <w:rFonts w:ascii="Arial" w:hAnsi="Arial" w:cs="Arial"/>
          <w:sz w:val="20"/>
          <w:szCs w:val="20"/>
        </w:rPr>
        <w:t>system (e.g. urinary tract, respiratory tract) or site (e.g. ear, skin).</w:t>
      </w:r>
      <w:r w:rsidR="00051F72" w:rsidRPr="004A1CBA">
        <w:rPr>
          <w:rFonts w:ascii="Arial" w:hAnsi="Arial" w:cs="Arial"/>
          <w:sz w:val="20"/>
          <w:szCs w:val="20"/>
        </w:rPr>
        <w:t xml:space="preserve"> The examples below illustrate change in resident status </w:t>
      </w:r>
      <w:r w:rsidRPr="004A1CBA">
        <w:rPr>
          <w:rFonts w:ascii="Arial" w:hAnsi="Arial" w:cs="Arial"/>
          <w:sz w:val="20"/>
          <w:szCs w:val="20"/>
        </w:rPr>
        <w:t xml:space="preserve">documentation that </w:t>
      </w:r>
      <w:r w:rsidR="00461888" w:rsidRPr="004A1CBA">
        <w:rPr>
          <w:rFonts w:ascii="Arial" w:hAnsi="Arial" w:cs="Arial"/>
          <w:sz w:val="20"/>
          <w:szCs w:val="20"/>
          <w:u w:val="single"/>
        </w:rPr>
        <w:t>should not</w:t>
      </w:r>
      <w:r w:rsidR="00461888" w:rsidRPr="004A1CBA">
        <w:rPr>
          <w:rFonts w:ascii="Arial" w:hAnsi="Arial" w:cs="Arial"/>
          <w:sz w:val="20"/>
          <w:szCs w:val="20"/>
        </w:rPr>
        <w:t xml:space="preserve"> </w:t>
      </w:r>
      <w:r w:rsidRPr="004A1CBA">
        <w:rPr>
          <w:rFonts w:ascii="Arial" w:hAnsi="Arial" w:cs="Arial"/>
          <w:sz w:val="20"/>
          <w:szCs w:val="20"/>
        </w:rPr>
        <w:t>be used to meet infection surveillance definitions</w:t>
      </w:r>
      <w:r w:rsidR="00051F72" w:rsidRPr="004A1CBA">
        <w:rPr>
          <w:rFonts w:ascii="Arial" w:hAnsi="Arial" w:cs="Arial"/>
          <w:sz w:val="20"/>
          <w:szCs w:val="20"/>
        </w:rPr>
        <w:t xml:space="preserve">. </w:t>
      </w:r>
    </w:p>
    <w:p w:rsidR="00A94EE5" w:rsidRPr="004A1CBA" w:rsidRDefault="00A94EE5" w:rsidP="00A94EE5">
      <w:pPr>
        <w:rPr>
          <w:rFonts w:ascii="Arial" w:hAnsi="Arial" w:cs="Arial"/>
          <w:sz w:val="20"/>
          <w:szCs w:val="20"/>
        </w:rPr>
      </w:pPr>
    </w:p>
    <w:p w:rsidR="00A94EE5" w:rsidRPr="004A1CBA" w:rsidRDefault="00A94EE5" w:rsidP="00A94EE5">
      <w:pPr>
        <w:pStyle w:val="ListParagraph"/>
        <w:numPr>
          <w:ilvl w:val="0"/>
          <w:numId w:val="5"/>
        </w:numPr>
        <w:rPr>
          <w:rFonts w:ascii="Arial" w:hAnsi="Arial" w:cs="Arial"/>
          <w:sz w:val="20"/>
          <w:szCs w:val="20"/>
        </w:rPr>
      </w:pPr>
      <w:r w:rsidRPr="004A1CBA">
        <w:rPr>
          <w:rFonts w:ascii="Arial" w:hAnsi="Arial" w:cs="Arial"/>
          <w:i/>
          <w:sz w:val="20"/>
          <w:szCs w:val="20"/>
        </w:rPr>
        <w:t>Behavior and mental status changes</w:t>
      </w:r>
      <w:r w:rsidR="00051F72" w:rsidRPr="004A1CBA">
        <w:rPr>
          <w:rFonts w:ascii="Arial" w:hAnsi="Arial" w:cs="Arial"/>
          <w:sz w:val="20"/>
          <w:szCs w:val="20"/>
        </w:rPr>
        <w:t xml:space="preserve">. </w:t>
      </w:r>
      <w:r w:rsidRPr="004A1CBA">
        <w:rPr>
          <w:rFonts w:ascii="Arial" w:hAnsi="Arial" w:cs="Arial"/>
          <w:sz w:val="20"/>
          <w:szCs w:val="20"/>
        </w:rPr>
        <w:t>While behavior and mental status changes can be important health indicators that re</w:t>
      </w:r>
      <w:r w:rsidR="00051F72" w:rsidRPr="004A1CBA">
        <w:rPr>
          <w:rFonts w:ascii="Arial" w:hAnsi="Arial" w:cs="Arial"/>
          <w:sz w:val="20"/>
          <w:szCs w:val="20"/>
        </w:rPr>
        <w:t>quire evaluation and follow-up,</w:t>
      </w:r>
      <w:r w:rsidRPr="004A1CBA">
        <w:rPr>
          <w:rFonts w:ascii="Arial" w:hAnsi="Arial" w:cs="Arial"/>
          <w:sz w:val="20"/>
          <w:szCs w:val="20"/>
        </w:rPr>
        <w:t xml:space="preserve"> mental status changes </w:t>
      </w:r>
      <w:r w:rsidR="00051F72" w:rsidRPr="004A1CBA">
        <w:rPr>
          <w:rFonts w:ascii="Arial" w:hAnsi="Arial" w:cs="Arial"/>
          <w:sz w:val="20"/>
          <w:szCs w:val="20"/>
        </w:rPr>
        <w:t xml:space="preserve">without additional clinical symptoms </w:t>
      </w:r>
      <w:r w:rsidRPr="004A1CBA">
        <w:rPr>
          <w:rFonts w:ascii="Arial" w:hAnsi="Arial" w:cs="Arial"/>
          <w:sz w:val="20"/>
          <w:szCs w:val="20"/>
        </w:rPr>
        <w:t>will not meet infection surveillance definitions.</w:t>
      </w:r>
    </w:p>
    <w:p w:rsidR="00583F04" w:rsidRPr="004A1CBA" w:rsidRDefault="00583F04" w:rsidP="00583F04">
      <w:pPr>
        <w:pStyle w:val="ListParagraph"/>
        <w:rPr>
          <w:rFonts w:ascii="Arial" w:hAnsi="Arial" w:cs="Arial"/>
          <w:sz w:val="20"/>
          <w:szCs w:val="20"/>
        </w:rPr>
      </w:pPr>
    </w:p>
    <w:p w:rsidR="00051F72" w:rsidRPr="004A1CBA" w:rsidRDefault="00771234" w:rsidP="00A94EE5">
      <w:pPr>
        <w:pStyle w:val="ListParagraph"/>
        <w:numPr>
          <w:ilvl w:val="0"/>
          <w:numId w:val="5"/>
        </w:numPr>
        <w:rPr>
          <w:rFonts w:ascii="Arial" w:hAnsi="Arial" w:cs="Arial"/>
          <w:sz w:val="20"/>
          <w:szCs w:val="20"/>
        </w:rPr>
      </w:pPr>
      <w:r w:rsidRPr="004A1CBA">
        <w:rPr>
          <w:rFonts w:ascii="Arial" w:hAnsi="Arial" w:cs="Arial"/>
          <w:i/>
          <w:sz w:val="20"/>
          <w:szCs w:val="20"/>
        </w:rPr>
        <w:t>Falls.</w:t>
      </w:r>
      <w:r w:rsidR="00583F04" w:rsidRPr="004A1CBA">
        <w:rPr>
          <w:rFonts w:ascii="Arial" w:hAnsi="Arial" w:cs="Arial"/>
          <w:sz w:val="20"/>
          <w:szCs w:val="20"/>
        </w:rPr>
        <w:t xml:space="preserve"> A resident experiencing falls should be evaluated and interventions to promote safety implemented, but </w:t>
      </w:r>
      <w:r w:rsidR="00461888" w:rsidRPr="004A1CBA">
        <w:rPr>
          <w:rFonts w:ascii="Arial" w:hAnsi="Arial" w:cs="Arial"/>
          <w:sz w:val="20"/>
          <w:szCs w:val="20"/>
        </w:rPr>
        <w:t>published studies indicate that</w:t>
      </w:r>
      <w:r w:rsidR="009D6910" w:rsidRPr="004A1CBA">
        <w:rPr>
          <w:rFonts w:ascii="Arial" w:hAnsi="Arial" w:cs="Arial"/>
          <w:sz w:val="20"/>
          <w:szCs w:val="20"/>
        </w:rPr>
        <w:t xml:space="preserve"> </w:t>
      </w:r>
      <w:r w:rsidR="00B239CD" w:rsidRPr="004A1CBA">
        <w:rPr>
          <w:rFonts w:ascii="Arial" w:hAnsi="Arial" w:cs="Arial"/>
          <w:sz w:val="20"/>
          <w:szCs w:val="20"/>
        </w:rPr>
        <w:t xml:space="preserve">a resident </w:t>
      </w:r>
      <w:r w:rsidR="009D6910" w:rsidRPr="004A1CBA">
        <w:rPr>
          <w:rFonts w:ascii="Arial" w:hAnsi="Arial" w:cs="Arial"/>
          <w:sz w:val="20"/>
          <w:szCs w:val="20"/>
        </w:rPr>
        <w:t xml:space="preserve">fall </w:t>
      </w:r>
      <w:r w:rsidR="00B239CD" w:rsidRPr="004A1CBA">
        <w:rPr>
          <w:rFonts w:ascii="Arial" w:hAnsi="Arial" w:cs="Arial"/>
          <w:sz w:val="20"/>
          <w:szCs w:val="20"/>
        </w:rPr>
        <w:t>without additional signs or symptoms of infection is</w:t>
      </w:r>
      <w:r w:rsidR="009D6910" w:rsidRPr="004A1CBA">
        <w:rPr>
          <w:rFonts w:ascii="Arial" w:hAnsi="Arial" w:cs="Arial"/>
          <w:sz w:val="20"/>
          <w:szCs w:val="20"/>
        </w:rPr>
        <w:t xml:space="preserve"> not included as</w:t>
      </w:r>
      <w:r w:rsidR="00B239CD" w:rsidRPr="004A1CBA">
        <w:rPr>
          <w:rFonts w:ascii="Arial" w:hAnsi="Arial" w:cs="Arial"/>
          <w:sz w:val="20"/>
          <w:szCs w:val="20"/>
        </w:rPr>
        <w:t xml:space="preserve"> a</w:t>
      </w:r>
      <w:r w:rsidR="009D6910" w:rsidRPr="004A1CBA">
        <w:rPr>
          <w:rFonts w:ascii="Arial" w:hAnsi="Arial" w:cs="Arial"/>
          <w:sz w:val="20"/>
          <w:szCs w:val="20"/>
        </w:rPr>
        <w:t xml:space="preserve"> </w:t>
      </w:r>
      <w:r w:rsidR="00B239CD" w:rsidRPr="004A1CBA">
        <w:rPr>
          <w:rFonts w:ascii="Arial" w:hAnsi="Arial" w:cs="Arial"/>
          <w:sz w:val="20"/>
          <w:szCs w:val="20"/>
        </w:rPr>
        <w:t>criterion</w:t>
      </w:r>
      <w:r w:rsidR="00AC554F" w:rsidRPr="004A1CBA">
        <w:rPr>
          <w:rFonts w:ascii="Arial" w:hAnsi="Arial" w:cs="Arial"/>
          <w:sz w:val="20"/>
          <w:szCs w:val="20"/>
        </w:rPr>
        <w:t xml:space="preserve"> that me</w:t>
      </w:r>
      <w:r w:rsidR="00B239CD" w:rsidRPr="004A1CBA">
        <w:rPr>
          <w:rFonts w:ascii="Arial" w:hAnsi="Arial" w:cs="Arial"/>
          <w:sz w:val="20"/>
          <w:szCs w:val="20"/>
        </w:rPr>
        <w:t>e</w:t>
      </w:r>
      <w:r w:rsidR="00AC554F" w:rsidRPr="004A1CBA">
        <w:rPr>
          <w:rFonts w:ascii="Arial" w:hAnsi="Arial" w:cs="Arial"/>
          <w:sz w:val="20"/>
          <w:szCs w:val="20"/>
        </w:rPr>
        <w:t>t</w:t>
      </w:r>
      <w:r w:rsidR="00B239CD" w:rsidRPr="004A1CBA">
        <w:rPr>
          <w:rFonts w:ascii="Arial" w:hAnsi="Arial" w:cs="Arial"/>
          <w:sz w:val="20"/>
          <w:szCs w:val="20"/>
        </w:rPr>
        <w:t>s</w:t>
      </w:r>
      <w:r w:rsidR="00AC554F" w:rsidRPr="004A1CBA">
        <w:rPr>
          <w:rFonts w:ascii="Arial" w:hAnsi="Arial" w:cs="Arial"/>
          <w:sz w:val="20"/>
          <w:szCs w:val="20"/>
        </w:rPr>
        <w:t xml:space="preserve"> </w:t>
      </w:r>
      <w:r w:rsidR="0027340C">
        <w:rPr>
          <w:rFonts w:ascii="Arial" w:hAnsi="Arial" w:cs="Arial"/>
          <w:sz w:val="20"/>
          <w:szCs w:val="20"/>
        </w:rPr>
        <w:t xml:space="preserve">infection </w:t>
      </w:r>
      <w:r w:rsidR="00AC554F" w:rsidRPr="004A1CBA">
        <w:rPr>
          <w:rFonts w:ascii="Arial" w:hAnsi="Arial" w:cs="Arial"/>
          <w:sz w:val="20"/>
          <w:szCs w:val="20"/>
        </w:rPr>
        <w:t>surveillance definitions</w:t>
      </w:r>
      <w:r w:rsidR="00461888" w:rsidRPr="004A1CBA">
        <w:rPr>
          <w:rFonts w:ascii="Arial" w:hAnsi="Arial" w:cs="Arial"/>
          <w:sz w:val="20"/>
          <w:szCs w:val="20"/>
        </w:rPr>
        <w:t xml:space="preserve"> (Stone et al. 2012)</w:t>
      </w:r>
      <w:r w:rsidR="00AC554F" w:rsidRPr="004A1CBA">
        <w:rPr>
          <w:rFonts w:ascii="Arial" w:hAnsi="Arial" w:cs="Arial"/>
          <w:sz w:val="20"/>
          <w:szCs w:val="20"/>
        </w:rPr>
        <w:t>.</w:t>
      </w:r>
    </w:p>
    <w:p w:rsidR="00583F04" w:rsidRPr="004A1CBA" w:rsidRDefault="00583F04" w:rsidP="00583F04">
      <w:pPr>
        <w:pStyle w:val="ListParagraph"/>
        <w:rPr>
          <w:rFonts w:ascii="Arial" w:hAnsi="Arial" w:cs="Arial"/>
          <w:sz w:val="20"/>
          <w:szCs w:val="20"/>
        </w:rPr>
      </w:pPr>
    </w:p>
    <w:p w:rsidR="00051F72" w:rsidRPr="004A1CBA" w:rsidRDefault="00051F72" w:rsidP="000D72B9">
      <w:pPr>
        <w:pStyle w:val="ListParagraph"/>
        <w:numPr>
          <w:ilvl w:val="0"/>
          <w:numId w:val="5"/>
        </w:numPr>
        <w:rPr>
          <w:rFonts w:ascii="Arial" w:hAnsi="Arial" w:cs="Arial"/>
          <w:i/>
          <w:sz w:val="20"/>
          <w:szCs w:val="20"/>
        </w:rPr>
      </w:pPr>
      <w:r w:rsidRPr="004A1CBA">
        <w:rPr>
          <w:rFonts w:ascii="Arial" w:hAnsi="Arial" w:cs="Arial"/>
          <w:i/>
          <w:sz w:val="20"/>
          <w:szCs w:val="20"/>
        </w:rPr>
        <w:t>Foul-smelling</w:t>
      </w:r>
      <w:r w:rsidR="000D72B9" w:rsidRPr="004A1CBA">
        <w:rPr>
          <w:rFonts w:ascii="Arial" w:hAnsi="Arial" w:cs="Arial"/>
          <w:i/>
          <w:sz w:val="20"/>
          <w:szCs w:val="20"/>
        </w:rPr>
        <w:t xml:space="preserve"> urine</w:t>
      </w:r>
      <w:r w:rsidRPr="004A1CBA">
        <w:rPr>
          <w:rFonts w:ascii="Arial" w:hAnsi="Arial" w:cs="Arial"/>
          <w:i/>
          <w:sz w:val="20"/>
          <w:szCs w:val="20"/>
        </w:rPr>
        <w:t>.</w:t>
      </w:r>
      <w:r w:rsidR="000D72B9" w:rsidRPr="004A1CBA">
        <w:rPr>
          <w:rFonts w:ascii="Arial" w:hAnsi="Arial" w:cs="Arial"/>
          <w:sz w:val="20"/>
          <w:szCs w:val="20"/>
        </w:rPr>
        <w:t xml:space="preserve"> Malodorous urine can be caused by several factors, including dehydration, diet, medication, or the presence of specific bacteria. </w:t>
      </w:r>
      <w:r w:rsidR="0027340C">
        <w:rPr>
          <w:rFonts w:ascii="Arial" w:hAnsi="Arial" w:cs="Arial"/>
          <w:sz w:val="20"/>
          <w:szCs w:val="20"/>
        </w:rPr>
        <w:t>F</w:t>
      </w:r>
      <w:r w:rsidR="009C0C77" w:rsidRPr="004A1CBA">
        <w:rPr>
          <w:rFonts w:ascii="Arial" w:hAnsi="Arial" w:cs="Arial"/>
          <w:sz w:val="20"/>
          <w:szCs w:val="20"/>
        </w:rPr>
        <w:t xml:space="preserve">oul-smelling urine alone </w:t>
      </w:r>
      <w:r w:rsidR="000D72B9" w:rsidRPr="004A1CBA">
        <w:rPr>
          <w:rFonts w:ascii="Arial" w:hAnsi="Arial" w:cs="Arial"/>
          <w:sz w:val="20"/>
          <w:szCs w:val="20"/>
        </w:rPr>
        <w:t>does not indicate the presence of UTI</w:t>
      </w:r>
      <w:r w:rsidR="0027340C">
        <w:rPr>
          <w:rFonts w:ascii="Arial" w:hAnsi="Arial" w:cs="Arial"/>
          <w:sz w:val="20"/>
          <w:szCs w:val="20"/>
        </w:rPr>
        <w:t xml:space="preserve"> </w:t>
      </w:r>
      <w:r w:rsidR="0027340C" w:rsidRPr="004A1CBA">
        <w:rPr>
          <w:rFonts w:ascii="Arial" w:hAnsi="Arial" w:cs="Arial"/>
          <w:sz w:val="20"/>
          <w:szCs w:val="20"/>
        </w:rPr>
        <w:t xml:space="preserve">as described in the CDC </w:t>
      </w:r>
      <w:r w:rsidR="00F065B7">
        <w:rPr>
          <w:rFonts w:ascii="Arial" w:hAnsi="Arial" w:cs="Arial"/>
          <w:sz w:val="20"/>
          <w:szCs w:val="20"/>
        </w:rPr>
        <w:t xml:space="preserve">infection surveillance </w:t>
      </w:r>
      <w:r w:rsidR="0027340C" w:rsidRPr="004A1CBA">
        <w:rPr>
          <w:rFonts w:ascii="Arial" w:hAnsi="Arial" w:cs="Arial"/>
          <w:sz w:val="20"/>
          <w:szCs w:val="20"/>
        </w:rPr>
        <w:t>definition</w:t>
      </w:r>
      <w:r w:rsidR="00D41400" w:rsidRPr="004A1CBA">
        <w:rPr>
          <w:rFonts w:ascii="Arial" w:hAnsi="Arial" w:cs="Arial"/>
          <w:sz w:val="20"/>
          <w:szCs w:val="20"/>
        </w:rPr>
        <w:t>.</w:t>
      </w:r>
    </w:p>
    <w:p w:rsidR="00583F04" w:rsidRPr="004A1CBA" w:rsidRDefault="00583F04" w:rsidP="00583F04">
      <w:pPr>
        <w:pStyle w:val="ListParagraph"/>
        <w:rPr>
          <w:rFonts w:ascii="Arial" w:hAnsi="Arial" w:cs="Arial"/>
          <w:i/>
          <w:sz w:val="20"/>
          <w:szCs w:val="20"/>
        </w:rPr>
      </w:pPr>
    </w:p>
    <w:p w:rsidR="00583F04" w:rsidRPr="004A1CBA" w:rsidRDefault="00911E65" w:rsidP="00583F04">
      <w:pPr>
        <w:pStyle w:val="ListParagraph"/>
        <w:numPr>
          <w:ilvl w:val="0"/>
          <w:numId w:val="5"/>
        </w:numPr>
        <w:spacing w:after="200"/>
        <w:contextualSpacing/>
        <w:rPr>
          <w:rFonts w:ascii="Arial" w:hAnsi="Arial" w:cs="Arial"/>
          <w:sz w:val="20"/>
          <w:szCs w:val="20"/>
        </w:rPr>
      </w:pPr>
      <w:r w:rsidRPr="004A1CBA">
        <w:rPr>
          <w:rFonts w:ascii="Arial" w:hAnsi="Arial" w:cs="Arial"/>
          <w:i/>
          <w:sz w:val="20"/>
          <w:szCs w:val="20"/>
        </w:rPr>
        <w:t>History of UTI.</w:t>
      </w:r>
      <w:r w:rsidRPr="004A1CBA">
        <w:rPr>
          <w:rFonts w:ascii="Arial" w:hAnsi="Arial" w:cs="Arial"/>
          <w:sz w:val="20"/>
          <w:szCs w:val="20"/>
        </w:rPr>
        <w:t xml:space="preserve"> Knowledge of a resident’s UTI history may be helpful when making care decisions (e.g.</w:t>
      </w:r>
      <w:r w:rsidR="00583F04" w:rsidRPr="004A1CBA">
        <w:rPr>
          <w:rFonts w:ascii="Arial" w:hAnsi="Arial" w:cs="Arial"/>
          <w:sz w:val="20"/>
          <w:szCs w:val="20"/>
        </w:rPr>
        <w:t xml:space="preserve"> </w:t>
      </w:r>
      <w:r w:rsidRPr="004A1CBA">
        <w:rPr>
          <w:rFonts w:ascii="Arial" w:hAnsi="Arial" w:cs="Arial"/>
          <w:sz w:val="20"/>
          <w:szCs w:val="20"/>
        </w:rPr>
        <w:t xml:space="preserve">teaching regarding perineal hygiene). However, a resident’s </w:t>
      </w:r>
      <w:r w:rsidRPr="004A1CBA">
        <w:rPr>
          <w:rFonts w:ascii="Arial" w:hAnsi="Arial" w:cs="Arial"/>
          <w:i/>
          <w:sz w:val="20"/>
          <w:szCs w:val="20"/>
        </w:rPr>
        <w:t>current</w:t>
      </w:r>
      <w:r w:rsidRPr="004A1CBA">
        <w:rPr>
          <w:rFonts w:ascii="Arial" w:hAnsi="Arial" w:cs="Arial"/>
          <w:sz w:val="20"/>
          <w:szCs w:val="20"/>
        </w:rPr>
        <w:t xml:space="preserve"> clinical signs and symptoms should be considered when assessing for a UTI. </w:t>
      </w:r>
    </w:p>
    <w:p w:rsidR="00583F04" w:rsidRPr="004A1CBA" w:rsidRDefault="00583F04" w:rsidP="00583F04">
      <w:pPr>
        <w:pStyle w:val="ListParagraph"/>
        <w:rPr>
          <w:rFonts w:ascii="Arial" w:hAnsi="Arial" w:cs="Arial"/>
          <w:sz w:val="20"/>
          <w:szCs w:val="20"/>
        </w:rPr>
      </w:pPr>
    </w:p>
    <w:p w:rsidR="00911E65" w:rsidRPr="004A1CBA" w:rsidRDefault="00911E65" w:rsidP="00EC2518">
      <w:pPr>
        <w:pStyle w:val="ListParagraph"/>
        <w:numPr>
          <w:ilvl w:val="0"/>
          <w:numId w:val="5"/>
        </w:numPr>
        <w:rPr>
          <w:rFonts w:ascii="Arial" w:hAnsi="Arial" w:cs="Arial"/>
          <w:i/>
          <w:sz w:val="20"/>
          <w:szCs w:val="20"/>
        </w:rPr>
      </w:pPr>
      <w:r w:rsidRPr="004A1CBA">
        <w:rPr>
          <w:rFonts w:ascii="Arial" w:hAnsi="Arial" w:cs="Arial"/>
          <w:i/>
          <w:sz w:val="20"/>
          <w:szCs w:val="20"/>
        </w:rPr>
        <w:t>Positive urinalysis (UA) or urine culture (UC)</w:t>
      </w:r>
      <w:r w:rsidRPr="004A1CBA">
        <w:rPr>
          <w:rFonts w:ascii="Arial" w:hAnsi="Arial" w:cs="Arial"/>
          <w:sz w:val="20"/>
          <w:szCs w:val="20"/>
        </w:rPr>
        <w:t>.</w:t>
      </w:r>
      <w:r w:rsidR="000D72B9" w:rsidRPr="004A1CBA">
        <w:rPr>
          <w:rFonts w:ascii="Arial" w:hAnsi="Arial" w:cs="Arial"/>
          <w:sz w:val="20"/>
          <w:szCs w:val="20"/>
        </w:rPr>
        <w:t xml:space="preserve"> </w:t>
      </w:r>
      <w:r w:rsidR="00D41400" w:rsidRPr="004A1CBA">
        <w:rPr>
          <w:rFonts w:ascii="Arial" w:hAnsi="Arial" w:cs="Arial"/>
          <w:sz w:val="20"/>
          <w:szCs w:val="20"/>
        </w:rPr>
        <w:t xml:space="preserve">Urine does not typically contain bacteria, yeast, or white blood cells (pus or </w:t>
      </w:r>
      <w:proofErr w:type="spellStart"/>
      <w:r w:rsidR="00D41400" w:rsidRPr="004A1CBA">
        <w:rPr>
          <w:rFonts w:ascii="Arial" w:hAnsi="Arial" w:cs="Arial"/>
          <w:sz w:val="20"/>
          <w:szCs w:val="20"/>
        </w:rPr>
        <w:t>pyuria</w:t>
      </w:r>
      <w:proofErr w:type="spellEnd"/>
      <w:r w:rsidR="00D41400" w:rsidRPr="004A1CBA">
        <w:rPr>
          <w:rFonts w:ascii="Arial" w:hAnsi="Arial" w:cs="Arial"/>
          <w:sz w:val="20"/>
          <w:szCs w:val="20"/>
        </w:rPr>
        <w:t>) in younger, healthy people. However, bacteria and pus are frequently found in the urine of elderly and debilitated people due to increased age, chronic disease, functional impairment, invasive devices, dehydration, and other risk factors.</w:t>
      </w:r>
      <w:r w:rsidR="00EC2518" w:rsidRPr="004A1CBA">
        <w:rPr>
          <w:rFonts w:ascii="Arial" w:hAnsi="Arial" w:cs="Arial"/>
          <w:sz w:val="20"/>
          <w:szCs w:val="20"/>
        </w:rPr>
        <w:t xml:space="preserve"> A positive UA or UC in the absence of other clinical symptoms of UTI does not meet </w:t>
      </w:r>
      <w:r w:rsidR="009C0C77" w:rsidRPr="004A1CBA">
        <w:rPr>
          <w:rFonts w:ascii="Arial" w:hAnsi="Arial" w:cs="Arial"/>
          <w:sz w:val="20"/>
          <w:szCs w:val="20"/>
        </w:rPr>
        <w:t>the CDC</w:t>
      </w:r>
      <w:r w:rsidR="00EC2518" w:rsidRPr="004A1CBA">
        <w:rPr>
          <w:rFonts w:ascii="Arial" w:hAnsi="Arial" w:cs="Arial"/>
          <w:sz w:val="20"/>
          <w:szCs w:val="20"/>
        </w:rPr>
        <w:t xml:space="preserve"> infection surveillance definitions.</w:t>
      </w:r>
    </w:p>
    <w:p w:rsidR="00A94EE5" w:rsidRPr="004A1CBA" w:rsidRDefault="00A94EE5" w:rsidP="00A94EE5">
      <w:pPr>
        <w:rPr>
          <w:rFonts w:ascii="Arial" w:hAnsi="Arial" w:cs="Arial"/>
          <w:sz w:val="20"/>
          <w:szCs w:val="20"/>
        </w:rPr>
      </w:pPr>
    </w:p>
    <w:p w:rsidR="00AC554F" w:rsidRPr="004A1CBA" w:rsidRDefault="00186C16" w:rsidP="000E1949">
      <w:pPr>
        <w:rPr>
          <w:rFonts w:ascii="Arial" w:hAnsi="Arial" w:cs="Arial"/>
          <w:sz w:val="20"/>
          <w:szCs w:val="20"/>
        </w:rPr>
      </w:pPr>
      <w:r w:rsidRPr="004A1CBA">
        <w:rPr>
          <w:rFonts w:ascii="Arial" w:hAnsi="Arial" w:cs="Arial"/>
          <w:sz w:val="20"/>
          <w:szCs w:val="20"/>
        </w:rPr>
        <w:t xml:space="preserve">Keep in mind that infection surveillance definitions </w:t>
      </w:r>
      <w:r w:rsidR="009A1A9B" w:rsidRPr="004A1CBA">
        <w:rPr>
          <w:rFonts w:ascii="Arial" w:hAnsi="Arial" w:cs="Arial"/>
          <w:sz w:val="20"/>
          <w:szCs w:val="20"/>
        </w:rPr>
        <w:t>are</w:t>
      </w:r>
      <w:r w:rsidRPr="004A1CBA">
        <w:rPr>
          <w:rFonts w:ascii="Arial" w:hAnsi="Arial" w:cs="Arial"/>
          <w:sz w:val="20"/>
          <w:szCs w:val="20"/>
        </w:rPr>
        <w:t xml:space="preserve"> different than </w:t>
      </w:r>
      <w:r w:rsidR="009A1A9B" w:rsidRPr="004A1CBA">
        <w:rPr>
          <w:rFonts w:ascii="Arial" w:hAnsi="Arial" w:cs="Arial"/>
          <w:sz w:val="20"/>
          <w:szCs w:val="20"/>
        </w:rPr>
        <w:t>criteria</w:t>
      </w:r>
      <w:r w:rsidRPr="004A1CBA">
        <w:rPr>
          <w:rFonts w:ascii="Arial" w:hAnsi="Arial" w:cs="Arial"/>
          <w:sz w:val="20"/>
          <w:szCs w:val="20"/>
        </w:rPr>
        <w:t xml:space="preserve"> used </w:t>
      </w:r>
      <w:r w:rsidR="009A1A9B" w:rsidRPr="004A1CBA">
        <w:rPr>
          <w:rFonts w:ascii="Arial" w:hAnsi="Arial" w:cs="Arial"/>
          <w:sz w:val="20"/>
          <w:szCs w:val="20"/>
        </w:rPr>
        <w:t xml:space="preserve">for </w:t>
      </w:r>
      <w:r w:rsidRPr="004A1CBA">
        <w:rPr>
          <w:rFonts w:ascii="Arial" w:hAnsi="Arial" w:cs="Arial"/>
          <w:sz w:val="20"/>
          <w:szCs w:val="20"/>
        </w:rPr>
        <w:t>clinical</w:t>
      </w:r>
      <w:r w:rsidR="009A1A9B" w:rsidRPr="004A1CBA">
        <w:rPr>
          <w:rFonts w:ascii="Arial" w:hAnsi="Arial" w:cs="Arial"/>
          <w:sz w:val="20"/>
          <w:szCs w:val="20"/>
        </w:rPr>
        <w:t xml:space="preserve"> decision-making</w:t>
      </w:r>
      <w:r w:rsidRPr="004A1CBA">
        <w:rPr>
          <w:rFonts w:ascii="Arial" w:hAnsi="Arial" w:cs="Arial"/>
          <w:sz w:val="20"/>
          <w:szCs w:val="20"/>
        </w:rPr>
        <w:t xml:space="preserve">. According to </w:t>
      </w:r>
      <w:r w:rsidR="009C0C77" w:rsidRPr="004A1CBA">
        <w:rPr>
          <w:rFonts w:ascii="Arial" w:hAnsi="Arial" w:cs="Arial"/>
          <w:sz w:val="20"/>
          <w:szCs w:val="20"/>
        </w:rPr>
        <w:t>CDC</w:t>
      </w:r>
      <w:r w:rsidRPr="004A1CBA">
        <w:rPr>
          <w:rFonts w:ascii="Arial" w:hAnsi="Arial" w:cs="Arial"/>
          <w:sz w:val="20"/>
          <w:szCs w:val="20"/>
        </w:rPr>
        <w:t>, “the criteria that define infections for surveillance purposes were selected to increase the likelihood that the events captured by application of the definitions are true infections. Presentations of infection in older residents of LTCFs may be atypical, so failure to meet surveillance definitions may not fully exc</w:t>
      </w:r>
      <w:r w:rsidR="000B35E2">
        <w:rPr>
          <w:rFonts w:ascii="Arial" w:hAnsi="Arial" w:cs="Arial"/>
          <w:sz w:val="20"/>
          <w:szCs w:val="20"/>
        </w:rPr>
        <w:t>lude the presence of infection.”</w:t>
      </w:r>
    </w:p>
    <w:p w:rsidR="00EC2518" w:rsidRPr="004A1CBA" w:rsidRDefault="002F1E38" w:rsidP="000E1949">
      <w:pPr>
        <w:rPr>
          <w:rFonts w:ascii="Arial" w:hAnsi="Arial" w:cs="Arial"/>
          <w:sz w:val="20"/>
          <w:szCs w:val="20"/>
        </w:rPr>
      </w:pPr>
      <w:r>
        <w:rPr>
          <w:rFonts w:ascii="Arial" w:hAnsi="Arial" w:cs="Arial"/>
          <w:sz w:val="20"/>
          <w:szCs w:val="20"/>
        </w:rPr>
        <w:br/>
      </w:r>
      <w:bookmarkStart w:id="1" w:name="_GoBack"/>
      <w:bookmarkEnd w:id="1"/>
    </w:p>
    <w:p w:rsidR="00EC2518" w:rsidRPr="002F1E38" w:rsidRDefault="00EC2518" w:rsidP="00A94EE5">
      <w:pPr>
        <w:rPr>
          <w:rFonts w:asciiTheme="minorHAnsi" w:hAnsiTheme="minorHAnsi" w:cs="Arial"/>
          <w:sz w:val="18"/>
          <w:szCs w:val="18"/>
        </w:rPr>
      </w:pPr>
      <w:r w:rsidRPr="002F1E38">
        <w:rPr>
          <w:rFonts w:asciiTheme="minorHAnsi" w:hAnsiTheme="minorHAnsi" w:cs="Arial"/>
          <w:sz w:val="18"/>
          <w:szCs w:val="18"/>
        </w:rPr>
        <w:t xml:space="preserve">For additional resources for infection surveillance in LTCF, visit </w:t>
      </w:r>
      <w:r w:rsidR="009D0CDB" w:rsidRPr="002F1E38">
        <w:rPr>
          <w:rFonts w:asciiTheme="minorHAnsi" w:hAnsiTheme="minorHAnsi" w:cs="Arial"/>
          <w:sz w:val="18"/>
          <w:szCs w:val="18"/>
        </w:rPr>
        <w:t xml:space="preserve">the </w:t>
      </w:r>
      <w:r w:rsidRPr="002F1E38">
        <w:rPr>
          <w:rFonts w:asciiTheme="minorHAnsi" w:hAnsiTheme="minorHAnsi" w:cs="Arial"/>
          <w:sz w:val="18"/>
          <w:szCs w:val="18"/>
        </w:rPr>
        <w:t xml:space="preserve">CDC website for long-term care facilities at: </w:t>
      </w:r>
      <w:hyperlink r:id="rId7" w:history="1">
        <w:r w:rsidRPr="002F1E38">
          <w:rPr>
            <w:rStyle w:val="Hyperlink"/>
            <w:rFonts w:asciiTheme="minorHAnsi" w:hAnsiTheme="minorHAnsi" w:cs="Arial"/>
            <w:sz w:val="18"/>
            <w:szCs w:val="18"/>
          </w:rPr>
          <w:t>http://www.cdc.gov/longtermcare/staff.html</w:t>
        </w:r>
      </w:hyperlink>
    </w:p>
    <w:p w:rsidR="009C0C77" w:rsidRPr="002F1E38" w:rsidRDefault="009C0C77" w:rsidP="00A94EE5">
      <w:pPr>
        <w:rPr>
          <w:rFonts w:asciiTheme="minorHAnsi" w:hAnsiTheme="minorHAnsi" w:cs="Arial"/>
          <w:sz w:val="18"/>
          <w:szCs w:val="18"/>
        </w:rPr>
      </w:pPr>
      <w:r w:rsidRPr="002F1E38">
        <w:rPr>
          <w:rFonts w:asciiTheme="minorHAnsi" w:hAnsiTheme="minorHAnsi" w:cs="Arial"/>
          <w:sz w:val="18"/>
          <w:szCs w:val="18"/>
        </w:rPr>
        <w:t xml:space="preserve">Stone ND, Ashraf MS, Calder J, et al. Surveillance Definitions of Infections in Long-Term Care Facilities: Revisiting the </w:t>
      </w:r>
      <w:proofErr w:type="spellStart"/>
      <w:r w:rsidRPr="002F1E38">
        <w:rPr>
          <w:rFonts w:asciiTheme="minorHAnsi" w:hAnsiTheme="minorHAnsi" w:cs="Arial"/>
          <w:sz w:val="18"/>
          <w:szCs w:val="18"/>
        </w:rPr>
        <w:t>McGeer</w:t>
      </w:r>
      <w:proofErr w:type="spellEnd"/>
      <w:r w:rsidRPr="002F1E38">
        <w:rPr>
          <w:rFonts w:asciiTheme="minorHAnsi" w:hAnsiTheme="minorHAnsi" w:cs="Arial"/>
          <w:sz w:val="18"/>
          <w:szCs w:val="18"/>
        </w:rPr>
        <w:t xml:space="preserve"> Criteria. Infection Control and Hospital Epidemiology. 2012</w:t>
      </w:r>
      <w:proofErr w:type="gramStart"/>
      <w:r w:rsidRPr="002F1E38">
        <w:rPr>
          <w:rFonts w:asciiTheme="minorHAnsi" w:hAnsiTheme="minorHAnsi" w:cs="Arial"/>
          <w:sz w:val="18"/>
          <w:szCs w:val="18"/>
        </w:rPr>
        <w:t>;33:965</w:t>
      </w:r>
      <w:proofErr w:type="gramEnd"/>
      <w:r w:rsidRPr="002F1E38">
        <w:rPr>
          <w:rFonts w:asciiTheme="minorHAnsi" w:hAnsiTheme="minorHAnsi" w:cs="Arial"/>
          <w:sz w:val="18"/>
          <w:szCs w:val="18"/>
        </w:rPr>
        <w:t>-77.</w:t>
      </w:r>
      <w:r w:rsidR="002F1E38">
        <w:rPr>
          <w:rFonts w:asciiTheme="minorHAnsi" w:hAnsiTheme="minorHAnsi" w:cs="Arial"/>
          <w:sz w:val="18"/>
          <w:szCs w:val="18"/>
        </w:rPr>
        <w:t xml:space="preserve"> </w:t>
      </w:r>
    </w:p>
    <w:p w:rsidR="009C0C77" w:rsidRPr="002F1E38" w:rsidRDefault="009C0C77" w:rsidP="00A94EE5">
      <w:pPr>
        <w:rPr>
          <w:rFonts w:asciiTheme="minorHAnsi" w:hAnsiTheme="minorHAnsi" w:cs="Arial"/>
          <w:sz w:val="18"/>
          <w:szCs w:val="18"/>
        </w:rPr>
      </w:pPr>
      <w:r w:rsidRPr="002F1E38">
        <w:rPr>
          <w:rFonts w:asciiTheme="minorHAnsi" w:hAnsiTheme="minorHAnsi" w:cs="Arial"/>
          <w:sz w:val="18"/>
          <w:szCs w:val="18"/>
        </w:rPr>
        <w:t xml:space="preserve">Available at: </w:t>
      </w:r>
      <w:hyperlink r:id="rId8" w:history="1">
        <w:r w:rsidR="002F1E38" w:rsidRPr="00837F24">
          <w:rPr>
            <w:rStyle w:val="Hyperlink"/>
            <w:rFonts w:asciiTheme="minorHAnsi" w:hAnsiTheme="minorHAnsi" w:cs="Arial"/>
            <w:sz w:val="18"/>
            <w:szCs w:val="18"/>
          </w:rPr>
          <w:t>http://www.jstor.org/stable/10.1086/667743</w:t>
        </w:r>
      </w:hyperlink>
      <w:r w:rsidR="002F1E38">
        <w:rPr>
          <w:rFonts w:asciiTheme="minorHAnsi" w:hAnsiTheme="minorHAnsi" w:cs="Arial"/>
          <w:sz w:val="18"/>
          <w:szCs w:val="18"/>
        </w:rPr>
        <w:t xml:space="preserve"> </w:t>
      </w:r>
    </w:p>
    <w:sectPr w:rsidR="009C0C77" w:rsidRPr="002F1E38" w:rsidSect="002F1E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D78" w:rsidRDefault="00224D78" w:rsidP="00CD0CBC">
      <w:r>
        <w:separator/>
      </w:r>
    </w:p>
  </w:endnote>
  <w:endnote w:type="continuationSeparator" w:id="0">
    <w:p w:rsidR="00224D78" w:rsidRDefault="00224D78" w:rsidP="00CD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38" w:rsidRPr="00A14DAD" w:rsidRDefault="002F1E38" w:rsidP="002F1E38">
    <w:pPr>
      <w:pStyle w:val="Footer"/>
      <w:jc w:val="center"/>
      <w:rPr>
        <w:rFonts w:ascii="High Tower Text" w:hAnsi="High Tower Text"/>
      </w:rPr>
    </w:pPr>
    <w:r w:rsidRPr="00A14DAD">
      <w:rPr>
        <w:rFonts w:ascii="High Tower Text" w:hAnsi="High Tower Text"/>
        <w:noProof/>
      </w:rPr>
      <mc:AlternateContent>
        <mc:Choice Requires="wps">
          <w:drawing>
            <wp:anchor distT="0" distB="0" distL="114300" distR="114300" simplePos="0" relativeHeight="251660800" behindDoc="0" locked="0" layoutInCell="1" allowOverlap="1" wp14:anchorId="2000744B" wp14:editId="4C7A285A">
              <wp:simplePos x="0" y="0"/>
              <wp:positionH relativeFrom="column">
                <wp:posOffset>59055</wp:posOffset>
              </wp:positionH>
              <wp:positionV relativeFrom="paragraph">
                <wp:posOffset>-39370</wp:posOffset>
              </wp:positionV>
              <wp:extent cx="5826642"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5826642"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72DB6"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65pt,-3.1pt" to="463.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" strokecolor="#4bacc6 [3208]" strokeweight="1.5pt"/>
          </w:pict>
        </mc:Fallback>
      </mc:AlternateContent>
    </w:r>
    <w:r w:rsidRPr="00A14DAD">
      <w:rPr>
        <w:rFonts w:ascii="High Tower Text" w:hAnsi="High Tower Text"/>
      </w:rPr>
      <w:t>Minnesota Antimicrobial Stewardship Program Toolkit for Long-term Care Facilities</w:t>
    </w:r>
  </w:p>
  <w:p w:rsidR="002F1E38" w:rsidRPr="002F1E38" w:rsidRDefault="002F1E38" w:rsidP="002F1E38">
    <w:pPr>
      <w:pStyle w:val="Footer"/>
      <w:tabs>
        <w:tab w:val="left" w:pos="6660"/>
      </w:tabs>
      <w:jc w:val="center"/>
      <w:rPr>
        <w:rFonts w:ascii="High Tower Text" w:hAnsi="High Tower Text"/>
      </w:rPr>
    </w:pPr>
    <w:r w:rsidRPr="002F1E38">
      <w:rPr>
        <w:rFonts w:ascii="High Tower Text" w:hAnsi="High Tower Text"/>
      </w:rPr>
      <w:t>Tips for Applying CDC’s Infection Surveillance Guidance in</w:t>
    </w:r>
    <w:r w:rsidRPr="00A14DAD">
      <w:rPr>
        <w:rFonts w:ascii="High Tower Text" w:hAnsi="High Tower Text"/>
      </w:rPr>
      <w:t xml:space="preserve"> L</w:t>
    </w:r>
    <w:r>
      <w:rPr>
        <w:rFonts w:ascii="High Tower Text" w:hAnsi="High Tower Text"/>
      </w:rPr>
      <w:t>TCF:</w:t>
    </w:r>
    <w:r w:rsidRPr="00A14DAD">
      <w:rPr>
        <w:rFonts w:ascii="High Tower Text" w:hAnsi="High Tower Text"/>
      </w:rPr>
      <w:t xml:space="preserve"> </w:t>
    </w:r>
    <w:r>
      <w:rPr>
        <w:rFonts w:ascii="High Tower Text" w:hAnsi="High Tower Text"/>
      </w:rPr>
      <w:t xml:space="preserve">Page </w:t>
    </w:r>
    <w:r w:rsidRPr="00A14DAD">
      <w:rPr>
        <w:rFonts w:ascii="High Tower Text" w:hAnsi="High Tower Text"/>
      </w:rPr>
      <w:fldChar w:fldCharType="begin"/>
    </w:r>
    <w:r w:rsidRPr="00A14DAD">
      <w:rPr>
        <w:rFonts w:ascii="High Tower Text" w:hAnsi="High Tower Text"/>
      </w:rPr>
      <w:instrText xml:space="preserve"> PAGE   \* MERGEFORMAT </w:instrText>
    </w:r>
    <w:r w:rsidRPr="00A14DAD">
      <w:rPr>
        <w:rFonts w:ascii="High Tower Text" w:hAnsi="High Tower Text"/>
      </w:rPr>
      <w:fldChar w:fldCharType="separate"/>
    </w:r>
    <w:r w:rsidR="003353CC">
      <w:rPr>
        <w:rFonts w:ascii="High Tower Text" w:hAnsi="High Tower Text"/>
        <w:noProof/>
      </w:rPr>
      <w:t>2</w:t>
    </w:r>
    <w:r w:rsidRPr="00A14DAD">
      <w:rPr>
        <w:rFonts w:ascii="High Tower Text" w:hAnsi="High Tower Text"/>
        <w:noProof/>
      </w:rPr>
      <w:fldChar w:fldCharType="end"/>
    </w:r>
    <w:r>
      <w:rPr>
        <w:rFonts w:ascii="High Tower Text" w:hAnsi="High Tower Text"/>
      </w:rPr>
      <w:tab/>
    </w:r>
    <w:r w:rsidRPr="00A14DAD">
      <w:rPr>
        <w:rFonts w:ascii="High Tower Text" w:hAnsi="High Tower Text"/>
      </w:rPr>
      <w:t>www.health.state.mn.us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D78" w:rsidRDefault="00224D78" w:rsidP="00CD0CBC">
      <w:r>
        <w:separator/>
      </w:r>
    </w:p>
  </w:footnote>
  <w:footnote w:type="continuationSeparator" w:id="0">
    <w:p w:rsidR="00224D78" w:rsidRDefault="00224D78" w:rsidP="00CD0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1BC3"/>
    <w:multiLevelType w:val="hybridMultilevel"/>
    <w:tmpl w:val="429E2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E5220"/>
    <w:multiLevelType w:val="hybridMultilevel"/>
    <w:tmpl w:val="B506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51E34"/>
    <w:multiLevelType w:val="hybridMultilevel"/>
    <w:tmpl w:val="01B0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53D86"/>
    <w:multiLevelType w:val="hybridMultilevel"/>
    <w:tmpl w:val="D7C6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3F790F"/>
    <w:multiLevelType w:val="hybridMultilevel"/>
    <w:tmpl w:val="FF00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717715"/>
    <w:multiLevelType w:val="hybridMultilevel"/>
    <w:tmpl w:val="54E40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5717BBD"/>
    <w:multiLevelType w:val="hybridMultilevel"/>
    <w:tmpl w:val="31887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802097"/>
    <w:multiLevelType w:val="hybridMultilevel"/>
    <w:tmpl w:val="D232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B8121A"/>
    <w:multiLevelType w:val="hybridMultilevel"/>
    <w:tmpl w:val="2C5A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345BFA"/>
    <w:multiLevelType w:val="hybridMultilevel"/>
    <w:tmpl w:val="83527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F6B3F"/>
    <w:multiLevelType w:val="hybridMultilevel"/>
    <w:tmpl w:val="47944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41428D"/>
    <w:multiLevelType w:val="hybridMultilevel"/>
    <w:tmpl w:val="7FD0C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570595"/>
    <w:multiLevelType w:val="hybridMultilevel"/>
    <w:tmpl w:val="E79AA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5"/>
  </w:num>
  <w:num w:numId="4">
    <w:abstractNumId w:val="0"/>
  </w:num>
  <w:num w:numId="5">
    <w:abstractNumId w:val="11"/>
  </w:num>
  <w:num w:numId="6">
    <w:abstractNumId w:val="3"/>
  </w:num>
  <w:num w:numId="7">
    <w:abstractNumId w:val="10"/>
  </w:num>
  <w:num w:numId="8">
    <w:abstractNumId w:val="9"/>
  </w:num>
  <w:num w:numId="9">
    <w:abstractNumId w:val="6"/>
  </w:num>
  <w:num w:numId="10">
    <w:abstractNumId w:val="8"/>
  </w:num>
  <w:num w:numId="11">
    <w:abstractNumId w:val="7"/>
  </w:num>
  <w:num w:numId="12">
    <w:abstractNumId w:val="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BC"/>
    <w:rsid w:val="00014354"/>
    <w:rsid w:val="00017CBD"/>
    <w:rsid w:val="00030CD1"/>
    <w:rsid w:val="00031ED7"/>
    <w:rsid w:val="00051F72"/>
    <w:rsid w:val="00064B67"/>
    <w:rsid w:val="000A696B"/>
    <w:rsid w:val="000B35E2"/>
    <w:rsid w:val="000C12F2"/>
    <w:rsid w:val="000C5A3B"/>
    <w:rsid w:val="000D5D05"/>
    <w:rsid w:val="000D72B9"/>
    <w:rsid w:val="000E1949"/>
    <w:rsid w:val="0010585D"/>
    <w:rsid w:val="00114191"/>
    <w:rsid w:val="00122A49"/>
    <w:rsid w:val="00125F37"/>
    <w:rsid w:val="00146837"/>
    <w:rsid w:val="0018489C"/>
    <w:rsid w:val="00185435"/>
    <w:rsid w:val="00186C16"/>
    <w:rsid w:val="00197BA3"/>
    <w:rsid w:val="001A3B8E"/>
    <w:rsid w:val="001A3EC4"/>
    <w:rsid w:val="001C5DD5"/>
    <w:rsid w:val="001E4AB2"/>
    <w:rsid w:val="001E7893"/>
    <w:rsid w:val="002006BB"/>
    <w:rsid w:val="00224983"/>
    <w:rsid w:val="00224D78"/>
    <w:rsid w:val="00272800"/>
    <w:rsid w:val="0027340C"/>
    <w:rsid w:val="002952C3"/>
    <w:rsid w:val="002A7D7A"/>
    <w:rsid w:val="002B4646"/>
    <w:rsid w:val="002B4E7D"/>
    <w:rsid w:val="002C24DD"/>
    <w:rsid w:val="002E4582"/>
    <w:rsid w:val="002F1E38"/>
    <w:rsid w:val="00305849"/>
    <w:rsid w:val="00316AC2"/>
    <w:rsid w:val="0033383C"/>
    <w:rsid w:val="003353CC"/>
    <w:rsid w:val="00382FF8"/>
    <w:rsid w:val="003849C9"/>
    <w:rsid w:val="00394D7E"/>
    <w:rsid w:val="003E3750"/>
    <w:rsid w:val="003F7A09"/>
    <w:rsid w:val="00404317"/>
    <w:rsid w:val="00417540"/>
    <w:rsid w:val="00461888"/>
    <w:rsid w:val="00486BBF"/>
    <w:rsid w:val="00491891"/>
    <w:rsid w:val="004A1CBA"/>
    <w:rsid w:val="004B117B"/>
    <w:rsid w:val="004C14E5"/>
    <w:rsid w:val="004C7273"/>
    <w:rsid w:val="004E00CA"/>
    <w:rsid w:val="004E215F"/>
    <w:rsid w:val="004F15CF"/>
    <w:rsid w:val="004F3351"/>
    <w:rsid w:val="004F5F4E"/>
    <w:rsid w:val="00506056"/>
    <w:rsid w:val="00526E0D"/>
    <w:rsid w:val="00542F77"/>
    <w:rsid w:val="00570CB5"/>
    <w:rsid w:val="005834C3"/>
    <w:rsid w:val="00583F04"/>
    <w:rsid w:val="0058470C"/>
    <w:rsid w:val="005B5DCE"/>
    <w:rsid w:val="005C2A09"/>
    <w:rsid w:val="005C44C3"/>
    <w:rsid w:val="005D0604"/>
    <w:rsid w:val="005E034C"/>
    <w:rsid w:val="00637054"/>
    <w:rsid w:val="00637352"/>
    <w:rsid w:val="00657588"/>
    <w:rsid w:val="00681465"/>
    <w:rsid w:val="006821AA"/>
    <w:rsid w:val="00684EDB"/>
    <w:rsid w:val="00692997"/>
    <w:rsid w:val="006B0CB0"/>
    <w:rsid w:val="006B27B8"/>
    <w:rsid w:val="006D1106"/>
    <w:rsid w:val="006D6737"/>
    <w:rsid w:val="007248DA"/>
    <w:rsid w:val="00731484"/>
    <w:rsid w:val="00741611"/>
    <w:rsid w:val="00757D47"/>
    <w:rsid w:val="00770C71"/>
    <w:rsid w:val="00770FE3"/>
    <w:rsid w:val="00771234"/>
    <w:rsid w:val="00771779"/>
    <w:rsid w:val="00777418"/>
    <w:rsid w:val="00796355"/>
    <w:rsid w:val="007D1DB9"/>
    <w:rsid w:val="007F1CE0"/>
    <w:rsid w:val="007F37C1"/>
    <w:rsid w:val="00811A04"/>
    <w:rsid w:val="00832DD0"/>
    <w:rsid w:val="008354DE"/>
    <w:rsid w:val="0085440F"/>
    <w:rsid w:val="008A242D"/>
    <w:rsid w:val="00911E65"/>
    <w:rsid w:val="009230E2"/>
    <w:rsid w:val="0094512E"/>
    <w:rsid w:val="00963832"/>
    <w:rsid w:val="0098461A"/>
    <w:rsid w:val="0098672F"/>
    <w:rsid w:val="009A1A9B"/>
    <w:rsid w:val="009C0C77"/>
    <w:rsid w:val="009C159E"/>
    <w:rsid w:val="009D0CDB"/>
    <w:rsid w:val="009D6910"/>
    <w:rsid w:val="009F16BD"/>
    <w:rsid w:val="00A021B7"/>
    <w:rsid w:val="00A03D53"/>
    <w:rsid w:val="00A43AE0"/>
    <w:rsid w:val="00A52BD4"/>
    <w:rsid w:val="00A94EE5"/>
    <w:rsid w:val="00AC554F"/>
    <w:rsid w:val="00AE0862"/>
    <w:rsid w:val="00AF3797"/>
    <w:rsid w:val="00B20D6F"/>
    <w:rsid w:val="00B239CD"/>
    <w:rsid w:val="00B523A4"/>
    <w:rsid w:val="00B60554"/>
    <w:rsid w:val="00B64B94"/>
    <w:rsid w:val="00B657C4"/>
    <w:rsid w:val="00B82E68"/>
    <w:rsid w:val="00B85E3D"/>
    <w:rsid w:val="00B966C4"/>
    <w:rsid w:val="00BB6846"/>
    <w:rsid w:val="00BE00A3"/>
    <w:rsid w:val="00BE5561"/>
    <w:rsid w:val="00BF0CF5"/>
    <w:rsid w:val="00BF6F34"/>
    <w:rsid w:val="00C0635A"/>
    <w:rsid w:val="00C131D0"/>
    <w:rsid w:val="00C53B77"/>
    <w:rsid w:val="00C57D80"/>
    <w:rsid w:val="00C77C2C"/>
    <w:rsid w:val="00C86D4E"/>
    <w:rsid w:val="00CB2413"/>
    <w:rsid w:val="00CD0CBC"/>
    <w:rsid w:val="00CE4730"/>
    <w:rsid w:val="00D01350"/>
    <w:rsid w:val="00D41400"/>
    <w:rsid w:val="00D4576A"/>
    <w:rsid w:val="00D67EC8"/>
    <w:rsid w:val="00D87FB9"/>
    <w:rsid w:val="00D94C3C"/>
    <w:rsid w:val="00D9512A"/>
    <w:rsid w:val="00DA2E13"/>
    <w:rsid w:val="00DB07AF"/>
    <w:rsid w:val="00DB2F08"/>
    <w:rsid w:val="00DE3F73"/>
    <w:rsid w:val="00E017B2"/>
    <w:rsid w:val="00E136B7"/>
    <w:rsid w:val="00E25D09"/>
    <w:rsid w:val="00E26A64"/>
    <w:rsid w:val="00E27D8A"/>
    <w:rsid w:val="00E4362F"/>
    <w:rsid w:val="00E551CF"/>
    <w:rsid w:val="00EA411E"/>
    <w:rsid w:val="00EC2518"/>
    <w:rsid w:val="00EC375B"/>
    <w:rsid w:val="00EC51B0"/>
    <w:rsid w:val="00ED4A90"/>
    <w:rsid w:val="00F065B7"/>
    <w:rsid w:val="00F511B7"/>
    <w:rsid w:val="00F62CC2"/>
    <w:rsid w:val="00F86618"/>
    <w:rsid w:val="00FB47C6"/>
    <w:rsid w:val="00FE4E7E"/>
    <w:rsid w:val="00FF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BDEC76-13E6-4766-A7B0-3F98C9F1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CBC"/>
    <w:pPr>
      <w:spacing w:after="0" w:line="240" w:lineRule="auto"/>
    </w:pPr>
    <w:rPr>
      <w:rFonts w:ascii="Calibri" w:hAnsi="Calibri" w:cs="Times New Roman"/>
    </w:rPr>
  </w:style>
  <w:style w:type="paragraph" w:styleId="Heading2">
    <w:name w:val="heading 2"/>
    <w:basedOn w:val="Heading3"/>
    <w:next w:val="Normal"/>
    <w:link w:val="Heading2Char"/>
    <w:uiPriority w:val="9"/>
    <w:unhideWhenUsed/>
    <w:qFormat/>
    <w:rsid w:val="002F1E38"/>
    <w:pPr>
      <w:spacing w:line="276" w:lineRule="auto"/>
      <w:outlineLvl w:val="1"/>
    </w:pPr>
    <w:rPr>
      <w:color w:val="365F91" w:themeColor="accent1" w:themeShade="BF"/>
      <w:sz w:val="28"/>
      <w:szCs w:val="28"/>
    </w:rPr>
  </w:style>
  <w:style w:type="paragraph" w:styleId="Heading3">
    <w:name w:val="heading 3"/>
    <w:basedOn w:val="Normal"/>
    <w:next w:val="Normal"/>
    <w:link w:val="Heading3Char"/>
    <w:uiPriority w:val="9"/>
    <w:unhideWhenUsed/>
    <w:qFormat/>
    <w:rsid w:val="002F1E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CBC"/>
    <w:pPr>
      <w:ind w:left="720"/>
    </w:pPr>
  </w:style>
  <w:style w:type="paragraph" w:styleId="BalloonText">
    <w:name w:val="Balloon Text"/>
    <w:basedOn w:val="Normal"/>
    <w:link w:val="BalloonTextChar"/>
    <w:uiPriority w:val="99"/>
    <w:semiHidden/>
    <w:unhideWhenUsed/>
    <w:rsid w:val="00B523A4"/>
    <w:rPr>
      <w:rFonts w:ascii="Tahoma" w:hAnsi="Tahoma" w:cs="Tahoma"/>
      <w:sz w:val="16"/>
      <w:szCs w:val="16"/>
    </w:rPr>
  </w:style>
  <w:style w:type="character" w:customStyle="1" w:styleId="BalloonTextChar">
    <w:name w:val="Balloon Text Char"/>
    <w:basedOn w:val="DefaultParagraphFont"/>
    <w:link w:val="BalloonText"/>
    <w:uiPriority w:val="99"/>
    <w:semiHidden/>
    <w:rsid w:val="00B523A4"/>
    <w:rPr>
      <w:rFonts w:ascii="Tahoma" w:hAnsi="Tahoma" w:cs="Tahoma"/>
      <w:sz w:val="16"/>
      <w:szCs w:val="16"/>
    </w:rPr>
  </w:style>
  <w:style w:type="table" w:styleId="TableGrid">
    <w:name w:val="Table Grid"/>
    <w:basedOn w:val="TableNormal"/>
    <w:uiPriority w:val="59"/>
    <w:rsid w:val="00B64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24DD"/>
    <w:rPr>
      <w:color w:val="0000FF" w:themeColor="hyperlink"/>
      <w:u w:val="single"/>
    </w:rPr>
  </w:style>
  <w:style w:type="paragraph" w:styleId="Header">
    <w:name w:val="header"/>
    <w:basedOn w:val="Normal"/>
    <w:link w:val="HeaderChar"/>
    <w:uiPriority w:val="99"/>
    <w:unhideWhenUsed/>
    <w:rsid w:val="00EC375B"/>
    <w:pPr>
      <w:tabs>
        <w:tab w:val="center" w:pos="4680"/>
        <w:tab w:val="right" w:pos="9360"/>
      </w:tabs>
    </w:pPr>
  </w:style>
  <w:style w:type="character" w:customStyle="1" w:styleId="HeaderChar">
    <w:name w:val="Header Char"/>
    <w:basedOn w:val="DefaultParagraphFont"/>
    <w:link w:val="Header"/>
    <w:uiPriority w:val="99"/>
    <w:rsid w:val="00EC375B"/>
    <w:rPr>
      <w:rFonts w:ascii="Calibri" w:hAnsi="Calibri" w:cs="Times New Roman"/>
    </w:rPr>
  </w:style>
  <w:style w:type="paragraph" w:styleId="Footer">
    <w:name w:val="footer"/>
    <w:basedOn w:val="Normal"/>
    <w:link w:val="FooterChar"/>
    <w:uiPriority w:val="99"/>
    <w:unhideWhenUsed/>
    <w:rsid w:val="00EC375B"/>
    <w:pPr>
      <w:tabs>
        <w:tab w:val="center" w:pos="4680"/>
        <w:tab w:val="right" w:pos="9360"/>
      </w:tabs>
    </w:pPr>
  </w:style>
  <w:style w:type="character" w:customStyle="1" w:styleId="FooterChar">
    <w:name w:val="Footer Char"/>
    <w:basedOn w:val="DefaultParagraphFont"/>
    <w:link w:val="Footer"/>
    <w:uiPriority w:val="99"/>
    <w:rsid w:val="00EC375B"/>
    <w:rPr>
      <w:rFonts w:ascii="Calibri" w:hAnsi="Calibri" w:cs="Times New Roman"/>
    </w:rPr>
  </w:style>
  <w:style w:type="character" w:styleId="CommentReference">
    <w:name w:val="annotation reference"/>
    <w:basedOn w:val="DefaultParagraphFont"/>
    <w:uiPriority w:val="99"/>
    <w:semiHidden/>
    <w:unhideWhenUsed/>
    <w:rsid w:val="00D4576A"/>
    <w:rPr>
      <w:sz w:val="16"/>
      <w:szCs w:val="16"/>
    </w:rPr>
  </w:style>
  <w:style w:type="paragraph" w:styleId="CommentText">
    <w:name w:val="annotation text"/>
    <w:basedOn w:val="Normal"/>
    <w:link w:val="CommentTextChar"/>
    <w:uiPriority w:val="99"/>
    <w:semiHidden/>
    <w:unhideWhenUsed/>
    <w:rsid w:val="00D4576A"/>
    <w:rPr>
      <w:sz w:val="20"/>
      <w:szCs w:val="20"/>
    </w:rPr>
  </w:style>
  <w:style w:type="character" w:customStyle="1" w:styleId="CommentTextChar">
    <w:name w:val="Comment Text Char"/>
    <w:basedOn w:val="DefaultParagraphFont"/>
    <w:link w:val="CommentText"/>
    <w:uiPriority w:val="99"/>
    <w:semiHidden/>
    <w:rsid w:val="00D4576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4576A"/>
    <w:rPr>
      <w:b/>
      <w:bCs/>
    </w:rPr>
  </w:style>
  <w:style w:type="character" w:customStyle="1" w:styleId="CommentSubjectChar">
    <w:name w:val="Comment Subject Char"/>
    <w:basedOn w:val="CommentTextChar"/>
    <w:link w:val="CommentSubject"/>
    <w:uiPriority w:val="99"/>
    <w:semiHidden/>
    <w:rsid w:val="00D4576A"/>
    <w:rPr>
      <w:rFonts w:ascii="Calibri" w:hAnsi="Calibri" w:cs="Times New Roman"/>
      <w:b/>
      <w:bCs/>
      <w:sz w:val="20"/>
      <w:szCs w:val="20"/>
    </w:rPr>
  </w:style>
  <w:style w:type="character" w:customStyle="1" w:styleId="Heading2Char">
    <w:name w:val="Heading 2 Char"/>
    <w:basedOn w:val="DefaultParagraphFont"/>
    <w:link w:val="Heading2"/>
    <w:uiPriority w:val="9"/>
    <w:rsid w:val="002F1E38"/>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2F1E38"/>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2F1E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E3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7444">
      <w:bodyDiv w:val="1"/>
      <w:marLeft w:val="0"/>
      <w:marRight w:val="0"/>
      <w:marTop w:val="0"/>
      <w:marBottom w:val="0"/>
      <w:divBdr>
        <w:top w:val="none" w:sz="0" w:space="0" w:color="auto"/>
        <w:left w:val="none" w:sz="0" w:space="0" w:color="auto"/>
        <w:bottom w:val="none" w:sz="0" w:space="0" w:color="auto"/>
        <w:right w:val="none" w:sz="0" w:space="0" w:color="auto"/>
      </w:divBdr>
    </w:div>
    <w:div w:id="877006637">
      <w:bodyDiv w:val="1"/>
      <w:marLeft w:val="0"/>
      <w:marRight w:val="0"/>
      <w:marTop w:val="0"/>
      <w:marBottom w:val="0"/>
      <w:divBdr>
        <w:top w:val="none" w:sz="0" w:space="0" w:color="auto"/>
        <w:left w:val="none" w:sz="0" w:space="0" w:color="auto"/>
        <w:bottom w:val="none" w:sz="0" w:space="0" w:color="auto"/>
        <w:right w:val="none" w:sz="0" w:space="0" w:color="auto"/>
      </w:divBdr>
    </w:div>
    <w:div w:id="1139110289">
      <w:bodyDiv w:val="1"/>
      <w:marLeft w:val="0"/>
      <w:marRight w:val="0"/>
      <w:marTop w:val="0"/>
      <w:marBottom w:val="0"/>
      <w:divBdr>
        <w:top w:val="none" w:sz="0" w:space="0" w:color="auto"/>
        <w:left w:val="none" w:sz="0" w:space="0" w:color="auto"/>
        <w:bottom w:val="none" w:sz="0" w:space="0" w:color="auto"/>
        <w:right w:val="none" w:sz="0" w:space="0" w:color="auto"/>
      </w:divBdr>
    </w:div>
    <w:div w:id="1884900768">
      <w:bodyDiv w:val="1"/>
      <w:marLeft w:val="0"/>
      <w:marRight w:val="0"/>
      <w:marTop w:val="0"/>
      <w:marBottom w:val="0"/>
      <w:divBdr>
        <w:top w:val="none" w:sz="0" w:space="0" w:color="auto"/>
        <w:left w:val="none" w:sz="0" w:space="0" w:color="auto"/>
        <w:bottom w:val="none" w:sz="0" w:space="0" w:color="auto"/>
        <w:right w:val="none" w:sz="0" w:space="0" w:color="auto"/>
      </w:divBdr>
    </w:div>
    <w:div w:id="210209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10.1086/667743" TargetMode="External"/><Relationship Id="rId3" Type="http://schemas.openxmlformats.org/officeDocument/2006/relationships/settings" Target="settings.xml"/><Relationship Id="rId7" Type="http://schemas.openxmlformats.org/officeDocument/2006/relationships/hyperlink" Target="http://www.cdc.gov/longtermcare/staf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956</Words>
  <Characters>5884</Characters>
  <Application>Microsoft Office Word</Application>
  <DocSecurity>0</DocSecurity>
  <Lines>452</Lines>
  <Paragraphs>201</Paragraphs>
  <ScaleCrop>false</ScaleCrop>
  <HeadingPairs>
    <vt:vector size="2" baseType="variant">
      <vt:variant>
        <vt:lpstr>Title</vt:lpstr>
      </vt:variant>
      <vt:variant>
        <vt:i4>1</vt:i4>
      </vt:variant>
    </vt:vector>
  </HeadingPairs>
  <TitlesOfParts>
    <vt:vector size="1" baseType="lpstr">
      <vt:lpstr/>
    </vt:vector>
  </TitlesOfParts>
  <Company>Minnesota Department of Health</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 Warnke</dc:creator>
  <cp:lastModifiedBy>Elly Pretzel</cp:lastModifiedBy>
  <cp:revision>3</cp:revision>
  <dcterms:created xsi:type="dcterms:W3CDTF">2014-09-09T18:32:00Z</dcterms:created>
  <dcterms:modified xsi:type="dcterms:W3CDTF">2015-01-14T20:50:00Z</dcterms:modified>
</cp:coreProperties>
</file>