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18EB5" w14:textId="6E603A82" w:rsidR="00847B16" w:rsidRDefault="00F4380C" w:rsidP="00E963B9">
      <w:pPr>
        <w:pStyle w:val="Heading1"/>
      </w:pPr>
      <w:proofErr w:type="spellStart"/>
      <w:r w:rsidRPr="00FA5F6D">
        <w:rPr>
          <w:i/>
          <w:iCs/>
        </w:rPr>
        <w:t>Haemophilus</w:t>
      </w:r>
      <w:proofErr w:type="spellEnd"/>
      <w:r w:rsidRPr="00FA5F6D">
        <w:rPr>
          <w:i/>
          <w:iCs/>
        </w:rPr>
        <w:t xml:space="preserve"> Influenza</w:t>
      </w:r>
      <w:r w:rsidRPr="00F4380C">
        <w:t xml:space="preserve">, Type </w:t>
      </w:r>
      <w:r w:rsidR="00783AAE">
        <w:t>B</w:t>
      </w:r>
      <w:r w:rsidRPr="00F4380C">
        <w:t xml:space="preserve"> (Hib) </w:t>
      </w:r>
      <w:r w:rsidR="00E927CB">
        <w:t xml:space="preserve">Routine </w:t>
      </w:r>
      <w:r w:rsidR="002E0047">
        <w:t>and</w:t>
      </w:r>
      <w:r w:rsidR="00E927CB">
        <w:t xml:space="preserve"> Catch-up </w:t>
      </w:r>
      <w:r w:rsidR="006C664D">
        <w:t>Vaccine Protocol</w:t>
      </w:r>
    </w:p>
    <w:p w14:paraId="05D0B845" w14:textId="67CAAC33" w:rsidR="00270ABC" w:rsidRPr="004B3115" w:rsidRDefault="00270ABC" w:rsidP="00270ABC">
      <w:pPr>
        <w:pStyle w:val="Subtitle"/>
        <w:rPr>
          <w:color w:val="C00000"/>
        </w:rPr>
      </w:pPr>
      <w:r>
        <w:t xml:space="preserve">vaccine protocol for persons 6 weeks </w:t>
      </w:r>
      <w:r w:rsidR="005E775C">
        <w:t>and older</w:t>
      </w:r>
    </w:p>
    <w:p w14:paraId="4BAE6FFB" w14:textId="7300F1A1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C83577">
        <w:rPr>
          <w:b/>
          <w:bCs/>
          <w:color w:val="C00000"/>
        </w:rPr>
        <w:t>June 6, 2023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3B573E3F" w14:textId="77777777" w:rsidR="001C07A5" w:rsidRPr="007E50DF" w:rsidRDefault="006D0E2C" w:rsidP="007E50DF">
      <w:r w:rsidRPr="001C07A5">
        <w:t xml:space="preserve">To reduce incidence of morbidity and mortality of </w:t>
      </w:r>
      <w:proofErr w:type="spellStart"/>
      <w:r w:rsidRPr="00FA5F6D">
        <w:rPr>
          <w:i/>
          <w:iCs/>
        </w:rPr>
        <w:t>Haemophilus</w:t>
      </w:r>
      <w:proofErr w:type="spellEnd"/>
      <w:r w:rsidRPr="00FA5F6D">
        <w:rPr>
          <w:i/>
          <w:iCs/>
        </w:rPr>
        <w:t xml:space="preserve"> Influenza</w:t>
      </w:r>
      <w:r w:rsidRPr="001C07A5">
        <w:t>, type b (Hib) disease.</w:t>
      </w:r>
      <w:r w:rsidRPr="007E50DF">
        <w:t xml:space="preserve"> </w:t>
      </w:r>
    </w:p>
    <w:p w14:paraId="473158AD" w14:textId="14632A37" w:rsidR="000B3E7D" w:rsidRDefault="000B3E7D" w:rsidP="000B3E7D">
      <w:pPr>
        <w:pStyle w:val="Heading2"/>
      </w:pPr>
      <w:r>
        <w:t>Policy of protocol</w:t>
      </w:r>
    </w:p>
    <w:p w14:paraId="2EBD5D9C" w14:textId="0642A30E" w:rsidR="00456784" w:rsidRDefault="006C664D" w:rsidP="007D53F2">
      <w:pPr>
        <w:rPr>
          <w:color w:val="000000"/>
          <w:sz w:val="27"/>
          <w:szCs w:val="27"/>
        </w:rPr>
      </w:pPr>
      <w:r w:rsidRPr="006C664D">
        <w:t xml:space="preserve">The nurse will implement this protocol for </w:t>
      </w:r>
      <w:proofErr w:type="spellStart"/>
      <w:r w:rsidRPr="00FA5F6D">
        <w:rPr>
          <w:i/>
          <w:iCs/>
        </w:rPr>
        <w:t>Haemophilus</w:t>
      </w:r>
      <w:proofErr w:type="spellEnd"/>
      <w:r w:rsidRPr="00FA5F6D">
        <w:rPr>
          <w:i/>
          <w:iCs/>
        </w:rPr>
        <w:t xml:space="preserve"> Influenza</w:t>
      </w:r>
      <w:r w:rsidRPr="006C664D">
        <w:t>, type b (Hib) vaccination.</w:t>
      </w:r>
      <w:r>
        <w:rPr>
          <w:color w:val="000000"/>
          <w:sz w:val="27"/>
          <w:szCs w:val="27"/>
        </w:rPr>
        <w:t xml:space="preserve"> </w:t>
      </w:r>
    </w:p>
    <w:p w14:paraId="3A50D4DE" w14:textId="535B0548" w:rsidR="00456784" w:rsidRPr="00456784" w:rsidRDefault="00456784" w:rsidP="00456784">
      <w:pPr>
        <w:pStyle w:val="Heading2"/>
      </w:pPr>
      <w:r w:rsidRPr="00456784">
        <w:t>Condition-specific criteria and prescribed action</w:t>
      </w:r>
    </w:p>
    <w:p w14:paraId="66CD507C" w14:textId="31BCFD5E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W w:w="10527" w:type="dxa"/>
        <w:tblLook w:val="04A0" w:firstRow="1" w:lastRow="0" w:firstColumn="1" w:lastColumn="0" w:noHBand="0" w:noVBand="1"/>
      </w:tblPr>
      <w:tblGrid>
        <w:gridCol w:w="5128"/>
        <w:gridCol w:w="5399"/>
      </w:tblGrid>
      <w:tr w:rsidR="006C664D" w:rsidRPr="006C664D" w14:paraId="2B9A7AB7" w14:textId="77777777" w:rsidTr="00C24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6C664D" w:rsidRDefault="0015567C" w:rsidP="006C664D">
            <w:pPr>
              <w:pStyle w:val="TableText-calibri10"/>
            </w:pPr>
            <w:r w:rsidRPr="006C664D">
              <w:t>Criteria</w:t>
            </w:r>
          </w:p>
        </w:tc>
        <w:tc>
          <w:tcPr>
            <w:tcW w:w="5399" w:type="dxa"/>
          </w:tcPr>
          <w:p w14:paraId="7BC765D4" w14:textId="77777777" w:rsidR="0015567C" w:rsidRPr="006C664D" w:rsidRDefault="0015567C" w:rsidP="006C664D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664D">
              <w:t>Prescribed action</w:t>
            </w:r>
          </w:p>
        </w:tc>
      </w:tr>
      <w:tr w:rsidR="006C664D" w:rsidRPr="006C664D" w14:paraId="20DE80C1" w14:textId="77777777" w:rsidTr="00C24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617F6C85" w:rsidR="00926635" w:rsidRPr="006C664D" w:rsidRDefault="006C664D" w:rsidP="006C664D">
            <w:pPr>
              <w:pStyle w:val="TableText-calibri10"/>
            </w:pPr>
            <w:r w:rsidRPr="006C664D">
              <w:t>Currently healthy infant between the age of 6 weeks and 15 months.</w:t>
            </w:r>
          </w:p>
        </w:tc>
        <w:tc>
          <w:tcPr>
            <w:tcW w:w="5399" w:type="dxa"/>
          </w:tcPr>
          <w:p w14:paraId="3FAE6827" w14:textId="0C332D80" w:rsidR="00926635" w:rsidRPr="006C664D" w:rsidRDefault="006C664D" w:rsidP="006C664D">
            <w:pPr>
              <w:pStyle w:val="TableText-calibri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664D">
              <w:t>Proceed to vaccinate if meets remaining criteria.</w:t>
            </w:r>
          </w:p>
        </w:tc>
      </w:tr>
      <w:tr w:rsidR="006C664D" w:rsidRPr="006C664D" w14:paraId="6FE89BD4" w14:textId="77777777" w:rsidTr="00C24F1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C988EE5" w14:textId="54BB3762" w:rsidR="006C664D" w:rsidRPr="006C664D" w:rsidRDefault="006C664D" w:rsidP="006C664D">
            <w:pPr>
              <w:pStyle w:val="TableText-calibri10"/>
            </w:pPr>
            <w:r w:rsidRPr="006C664D">
              <w:t>Infant is less than age 6 weeks.</w:t>
            </w:r>
          </w:p>
        </w:tc>
        <w:tc>
          <w:tcPr>
            <w:tcW w:w="5399" w:type="dxa"/>
          </w:tcPr>
          <w:p w14:paraId="53AEB1D2" w14:textId="45760369" w:rsidR="006C664D" w:rsidRPr="006C664D" w:rsidRDefault="006C664D" w:rsidP="006C664D">
            <w:pPr>
              <w:pStyle w:val="TableText-calibri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664D">
              <w:t xml:space="preserve">Do not </w:t>
            </w:r>
            <w:r w:rsidR="00DD4DAB">
              <w:t>give</w:t>
            </w:r>
            <w:r w:rsidRPr="006C664D">
              <w:t>; reschedule vaccination when child meets age criteria.</w:t>
            </w:r>
          </w:p>
        </w:tc>
      </w:tr>
      <w:tr w:rsidR="006C664D" w:rsidRPr="006C664D" w14:paraId="20B0B24B" w14:textId="77777777" w:rsidTr="00C24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2EB3568" w14:textId="5B6DBD3E" w:rsidR="006C664D" w:rsidRPr="006C664D" w:rsidRDefault="006C664D" w:rsidP="006C664D">
            <w:pPr>
              <w:pStyle w:val="TableText-calibri10"/>
            </w:pPr>
            <w:r w:rsidRPr="006C664D">
              <w:t>Child is 15 months or older</w:t>
            </w:r>
            <w:r w:rsidR="00CA6CD3">
              <w:t xml:space="preserve"> but less than 59 months.</w:t>
            </w:r>
          </w:p>
        </w:tc>
        <w:tc>
          <w:tcPr>
            <w:tcW w:w="5399" w:type="dxa"/>
          </w:tcPr>
          <w:p w14:paraId="146C7AD3" w14:textId="0D5B2D03" w:rsidR="006C664D" w:rsidRPr="006C664D" w:rsidRDefault="00270ABC" w:rsidP="006C664D">
            <w:pPr>
              <w:pStyle w:val="TableText-calibri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Proceed to vaccinate, use c</w:t>
            </w:r>
            <w:r w:rsidR="006C664D" w:rsidRPr="006C664D">
              <w:t xml:space="preserve">atch-up </w:t>
            </w:r>
            <w:r>
              <w:t>schedule.</w:t>
            </w:r>
          </w:p>
        </w:tc>
      </w:tr>
      <w:tr w:rsidR="00270ABC" w:rsidRPr="006C664D" w14:paraId="6E30FD3B" w14:textId="77777777" w:rsidTr="00C24F1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AD7671D" w14:textId="7DDA7885" w:rsidR="00270ABC" w:rsidRPr="006C664D" w:rsidRDefault="00270ABC" w:rsidP="00270ABC">
            <w:pPr>
              <w:pStyle w:val="TableText-calibri10"/>
            </w:pPr>
            <w:r w:rsidRPr="006C664D">
              <w:t>Child is more than 1 month behind routine schedule</w:t>
            </w:r>
            <w:r w:rsidR="00CA6CD3">
              <w:t xml:space="preserve"> and less than 59 months.</w:t>
            </w:r>
          </w:p>
        </w:tc>
        <w:tc>
          <w:tcPr>
            <w:tcW w:w="5399" w:type="dxa"/>
          </w:tcPr>
          <w:p w14:paraId="549B8B04" w14:textId="7AE4E0FF" w:rsidR="00270ABC" w:rsidRPr="006C664D" w:rsidRDefault="00270ABC" w:rsidP="00270ABC">
            <w:pPr>
              <w:pStyle w:val="TableText-calibri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Proceed to vaccinate, use c</w:t>
            </w:r>
            <w:r w:rsidRPr="006C664D">
              <w:t xml:space="preserve">atch-up </w:t>
            </w:r>
            <w:r>
              <w:t>schedule.</w:t>
            </w:r>
          </w:p>
        </w:tc>
      </w:tr>
      <w:tr w:rsidR="00CA6CD3" w:rsidRPr="006C664D" w14:paraId="6792A9FE" w14:textId="77777777" w:rsidTr="00C24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0949192" w14:textId="0E3975D5" w:rsidR="00CA6CD3" w:rsidRPr="006C664D" w:rsidRDefault="00CA6CD3" w:rsidP="00270ABC">
            <w:pPr>
              <w:pStyle w:val="TableText-calibri10"/>
            </w:pPr>
            <w:r>
              <w:t xml:space="preserve">Child is older than 5 years. </w:t>
            </w:r>
          </w:p>
        </w:tc>
        <w:tc>
          <w:tcPr>
            <w:tcW w:w="5399" w:type="dxa"/>
          </w:tcPr>
          <w:p w14:paraId="0EA1930A" w14:textId="2AA8ECF4" w:rsidR="00CA6CD3" w:rsidRDefault="00CA6CD3" w:rsidP="00270ABC">
            <w:pPr>
              <w:pStyle w:val="TableText-calibri1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not vaccinate.</w:t>
            </w:r>
          </w:p>
        </w:tc>
      </w:tr>
      <w:tr w:rsidR="00270ABC" w:rsidRPr="006C664D" w14:paraId="081F36D8" w14:textId="77777777" w:rsidTr="00C24F1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10EEA54" w14:textId="1FD53953" w:rsidR="00270ABC" w:rsidRPr="006C664D" w:rsidRDefault="00270ABC" w:rsidP="00270ABC">
            <w:pPr>
              <w:pStyle w:val="TableText-calibri10"/>
            </w:pPr>
            <w:r w:rsidRPr="006C664D">
              <w:t>Child had a prior infection of Hib disease.</w:t>
            </w:r>
          </w:p>
        </w:tc>
        <w:tc>
          <w:tcPr>
            <w:tcW w:w="5399" w:type="dxa"/>
          </w:tcPr>
          <w:p w14:paraId="144076EE" w14:textId="273148A8" w:rsidR="00270ABC" w:rsidRPr="006C664D" w:rsidRDefault="00270ABC" w:rsidP="00270ABC">
            <w:pPr>
              <w:pStyle w:val="TableText-calibri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664D">
              <w:t>Not a contraindication; proceed to vaccinate.</w:t>
            </w:r>
          </w:p>
        </w:tc>
      </w:tr>
    </w:tbl>
    <w:p w14:paraId="7B87EA16" w14:textId="6DE4EBB1" w:rsidR="000B3E7D" w:rsidRDefault="000B3E7D" w:rsidP="0015567C">
      <w:pPr>
        <w:pStyle w:val="TableorChartTitle"/>
        <w:jc w:val="left"/>
      </w:pPr>
      <w:r>
        <w:t>Contraindications</w:t>
      </w:r>
    </w:p>
    <w:tbl>
      <w:tblPr>
        <w:tblStyle w:val="MDHstyle"/>
        <w:tblW w:w="10527" w:type="dxa"/>
        <w:tblLook w:val="04A0" w:firstRow="1" w:lastRow="0" w:firstColumn="1" w:lastColumn="0" w:noHBand="0" w:noVBand="1"/>
      </w:tblPr>
      <w:tblGrid>
        <w:gridCol w:w="5128"/>
        <w:gridCol w:w="5399"/>
      </w:tblGrid>
      <w:tr w:rsidR="006C664D" w:rsidRPr="006C664D" w14:paraId="03431DC1" w14:textId="77777777" w:rsidTr="00C24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77777777" w:rsidR="0015567C" w:rsidRPr="006C664D" w:rsidRDefault="0015567C" w:rsidP="006C664D">
            <w:pPr>
              <w:pStyle w:val="TableText-calibri10"/>
            </w:pPr>
            <w:r w:rsidRPr="006C664D">
              <w:t>Criteria</w:t>
            </w:r>
          </w:p>
        </w:tc>
        <w:tc>
          <w:tcPr>
            <w:tcW w:w="5399" w:type="dxa"/>
          </w:tcPr>
          <w:p w14:paraId="4692A7FB" w14:textId="77777777" w:rsidR="0015567C" w:rsidRPr="006C664D" w:rsidRDefault="0015567C" w:rsidP="006C664D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664D">
              <w:t>Prescribed action</w:t>
            </w:r>
          </w:p>
        </w:tc>
      </w:tr>
      <w:tr w:rsidR="006C664D" w:rsidRPr="006C664D" w14:paraId="7005D129" w14:textId="77777777" w:rsidTr="00C24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0D93939" w14:textId="39988E5F" w:rsidR="00185403" w:rsidRPr="006C664D" w:rsidRDefault="006C664D" w:rsidP="006C664D">
            <w:pPr>
              <w:pStyle w:val="TableText-calibri10"/>
            </w:pPr>
            <w:r w:rsidRPr="006C664D">
              <w:t xml:space="preserve">Child had a </w:t>
            </w:r>
            <w:r w:rsidR="00270ABC">
              <w:t>severe</w:t>
            </w:r>
            <w:r w:rsidR="00270ABC" w:rsidRPr="006C664D">
              <w:t xml:space="preserve"> </w:t>
            </w:r>
            <w:r w:rsidRPr="006C664D">
              <w:t>allergic reaction (anaphylaxis) to a previous dose of Hib vaccine.</w:t>
            </w:r>
          </w:p>
        </w:tc>
        <w:tc>
          <w:tcPr>
            <w:tcW w:w="5399" w:type="dxa"/>
          </w:tcPr>
          <w:p w14:paraId="68751DD1" w14:textId="2E1D6D32" w:rsidR="00185403" w:rsidRPr="006C664D" w:rsidRDefault="00AE1A4E" w:rsidP="006C664D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664D">
              <w:t>Do not vaccinate; _____________________</w:t>
            </w:r>
          </w:p>
        </w:tc>
      </w:tr>
      <w:tr w:rsidR="006C664D" w:rsidRPr="006C664D" w14:paraId="0B0C8027" w14:textId="77777777" w:rsidTr="00C24F1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A3603DD" w14:textId="4659B8C7" w:rsidR="00185403" w:rsidRPr="006C664D" w:rsidRDefault="006C664D" w:rsidP="006C664D">
            <w:pPr>
              <w:pStyle w:val="TableText-calibri10"/>
            </w:pPr>
            <w:r w:rsidRPr="006C664D">
              <w:t xml:space="preserve">Child has a </w:t>
            </w:r>
            <w:r w:rsidR="00270ABC">
              <w:t>severe</w:t>
            </w:r>
            <w:r w:rsidR="00270ABC" w:rsidRPr="006C664D">
              <w:t xml:space="preserve"> </w:t>
            </w:r>
            <w:r w:rsidRPr="006C664D">
              <w:t>allergy to a component of Hib vaccine</w:t>
            </w:r>
            <w:r w:rsidR="00B63AF8">
              <w:t>.</w:t>
            </w:r>
          </w:p>
        </w:tc>
        <w:tc>
          <w:tcPr>
            <w:tcW w:w="5399" w:type="dxa"/>
          </w:tcPr>
          <w:p w14:paraId="753EF366" w14:textId="78DA8AE1" w:rsidR="00185403" w:rsidRPr="006C664D" w:rsidRDefault="006D0E2C" w:rsidP="006C664D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664D">
              <w:t>Do not vaccinate; _____________________</w:t>
            </w:r>
          </w:p>
        </w:tc>
      </w:tr>
    </w:tbl>
    <w:p w14:paraId="799D0173" w14:textId="77777777" w:rsidR="0015567C" w:rsidRDefault="0015567C" w:rsidP="0015567C">
      <w:pPr>
        <w:pStyle w:val="TableorChartTitle"/>
        <w:jc w:val="left"/>
      </w:pPr>
      <w:r>
        <w:t>Precautions</w:t>
      </w:r>
    </w:p>
    <w:tbl>
      <w:tblPr>
        <w:tblStyle w:val="MDHstyle"/>
        <w:tblW w:w="10527" w:type="dxa"/>
        <w:tblLook w:val="04A0" w:firstRow="1" w:lastRow="0" w:firstColumn="1" w:lastColumn="0" w:noHBand="0" w:noVBand="1"/>
      </w:tblPr>
      <w:tblGrid>
        <w:gridCol w:w="5128"/>
        <w:gridCol w:w="5399"/>
      </w:tblGrid>
      <w:tr w:rsidR="00D074F5" w:rsidRPr="00E963B9" w14:paraId="7BD181FC" w14:textId="77777777" w:rsidTr="00C24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E963B9" w:rsidRDefault="0015567C" w:rsidP="00E963B9">
            <w:pPr>
              <w:pStyle w:val="TableText-calibri10"/>
            </w:pPr>
            <w:r w:rsidRPr="00E963B9">
              <w:t>Criteria</w:t>
            </w:r>
          </w:p>
        </w:tc>
        <w:tc>
          <w:tcPr>
            <w:tcW w:w="5399" w:type="dxa"/>
          </w:tcPr>
          <w:p w14:paraId="176E4172" w14:textId="77777777" w:rsidR="0015567C" w:rsidRPr="00E963B9" w:rsidRDefault="0015567C" w:rsidP="00E963B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63B9">
              <w:t>Prescribed action</w:t>
            </w:r>
          </w:p>
        </w:tc>
      </w:tr>
      <w:tr w:rsidR="00D074F5" w:rsidRPr="00E963B9" w14:paraId="5896B4F6" w14:textId="77777777" w:rsidTr="00C24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F749D01" w14:textId="60A2684B" w:rsidR="00926635" w:rsidRPr="00E963B9" w:rsidRDefault="00E963B9" w:rsidP="00E963B9">
            <w:pPr>
              <w:pStyle w:val="TableText-calibri10"/>
            </w:pPr>
            <w:r w:rsidRPr="00E963B9">
              <w:t>If child is currently on antibiotic therapy.</w:t>
            </w:r>
          </w:p>
        </w:tc>
        <w:tc>
          <w:tcPr>
            <w:tcW w:w="5399" w:type="dxa"/>
          </w:tcPr>
          <w:p w14:paraId="27B7FDF7" w14:textId="7AAE6BEB" w:rsidR="00926635" w:rsidRPr="00E963B9" w:rsidRDefault="006D0E2C" w:rsidP="00E963B9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3B9">
              <w:t>Proceed to vaccinate.</w:t>
            </w:r>
          </w:p>
        </w:tc>
      </w:tr>
      <w:tr w:rsidR="00417B5D" w:rsidRPr="00E963B9" w14:paraId="43771034" w14:textId="77777777" w:rsidTr="00C24F1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B7E4730" w14:textId="1BEE0150" w:rsidR="00417B5D" w:rsidRPr="00E963B9" w:rsidRDefault="00927A12" w:rsidP="00E963B9">
            <w:pPr>
              <w:pStyle w:val="TableText-calibri10"/>
            </w:pPr>
            <w:r>
              <w:lastRenderedPageBreak/>
              <w:t xml:space="preserve">Child </w:t>
            </w:r>
            <w:r w:rsidR="00823F14">
              <w:t xml:space="preserve">is </w:t>
            </w:r>
            <w:r w:rsidR="00FF3B80">
              <w:t>latex sensitive</w:t>
            </w:r>
            <w:r w:rsidR="00343354">
              <w:t xml:space="preserve"> (</w:t>
            </w:r>
            <w:proofErr w:type="spellStart"/>
            <w:r w:rsidR="00343354">
              <w:t>Ped</w:t>
            </w:r>
            <w:r w:rsidR="007D7137">
              <w:t>vaxHIB</w:t>
            </w:r>
            <w:proofErr w:type="spellEnd"/>
            <w:r w:rsidR="007D7137">
              <w:t xml:space="preserve"> only). </w:t>
            </w:r>
          </w:p>
        </w:tc>
        <w:tc>
          <w:tcPr>
            <w:tcW w:w="5399" w:type="dxa"/>
          </w:tcPr>
          <w:p w14:paraId="267DCEE6" w14:textId="7A5009C1" w:rsidR="00417B5D" w:rsidRPr="00E963B9" w:rsidRDefault="00617ABB" w:rsidP="00FA5F6D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 caution</w:t>
            </w:r>
            <w:r w:rsidR="002D6650">
              <w:t xml:space="preserve"> since the vial stopper contains dry natural latex rubber that may cause allergic reactions</w:t>
            </w:r>
            <w:r w:rsidR="00C963B1">
              <w:t xml:space="preserve">. </w:t>
            </w:r>
            <w:r w:rsidR="000E7CAF">
              <w:t xml:space="preserve">[Refer child to their primary care provider </w:t>
            </w:r>
            <w:r w:rsidR="006A397D">
              <w:t xml:space="preserve">for evaluation of risk and benefit of </w:t>
            </w:r>
            <w:r w:rsidR="008554D4">
              <w:t>vaccination]</w:t>
            </w:r>
          </w:p>
        </w:tc>
      </w:tr>
      <w:tr w:rsidR="00D074F5" w:rsidRPr="00E963B9" w14:paraId="0DDCB27F" w14:textId="77777777" w:rsidTr="00C24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A368789" w14:textId="65D95167" w:rsidR="06C91713" w:rsidRPr="00E963B9" w:rsidRDefault="00E963B9" w:rsidP="00E963B9">
            <w:pPr>
              <w:pStyle w:val="TableText-calibri10"/>
            </w:pPr>
            <w:r w:rsidRPr="00E963B9">
              <w:t>Child has a mild illness defined as temperature less than ____°F/°C with symptoms such as: [to be determined by medical prescriber]</w:t>
            </w:r>
          </w:p>
        </w:tc>
        <w:tc>
          <w:tcPr>
            <w:tcW w:w="5399" w:type="dxa"/>
          </w:tcPr>
          <w:p w14:paraId="6FBAFC44" w14:textId="71EFF50A" w:rsidR="06C91713" w:rsidRPr="00E963B9" w:rsidRDefault="006D0E2C" w:rsidP="00E963B9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63B9">
              <w:t>Proceed to vaccinate.</w:t>
            </w:r>
          </w:p>
        </w:tc>
      </w:tr>
      <w:tr w:rsidR="00D074F5" w:rsidRPr="00E963B9" w14:paraId="5FF9A9CD" w14:textId="77777777" w:rsidTr="00C24F1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92688A7" w14:textId="66E68F33" w:rsidR="00D074F5" w:rsidRPr="00E963B9" w:rsidRDefault="00E963B9" w:rsidP="00E963B9">
            <w:pPr>
              <w:pStyle w:val="TableText-calibri10"/>
            </w:pPr>
            <w:r w:rsidRPr="00E963B9">
              <w:t>Child has a moderate to severe illness defined as temperature of ____°F/°C or higher with symptoms such as: [to be determined by medical prescriber]</w:t>
            </w:r>
          </w:p>
        </w:tc>
        <w:tc>
          <w:tcPr>
            <w:tcW w:w="5399" w:type="dxa"/>
          </w:tcPr>
          <w:p w14:paraId="1655430B" w14:textId="5D06B188" w:rsidR="00D074F5" w:rsidRPr="00E963B9" w:rsidRDefault="006D0E2C" w:rsidP="00E963B9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63B9">
              <w:t>Defer vaccination and [to be determined by medical prescriber]</w:t>
            </w:r>
          </w:p>
        </w:tc>
      </w:tr>
      <w:tr w:rsidR="00817530" w:rsidRPr="00E963B9" w14:paraId="5432ED4D" w14:textId="77777777" w:rsidTr="00C24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C4A12C4" w14:textId="6C9652B3" w:rsidR="00817530" w:rsidRPr="00E963B9" w:rsidRDefault="00817530" w:rsidP="00817530">
            <w:pPr>
              <w:pStyle w:val="TableText-calibri10"/>
            </w:pPr>
            <w:r>
              <w:t>Guillain</w:t>
            </w:r>
            <w:r w:rsidRPr="00836CB2">
              <w:t>-Barré syndrome (GBS) within 6 weeks after a previous dose of tetanus toxoid-containing vaccine</w:t>
            </w:r>
            <w:r>
              <w:t xml:space="preserve"> (for </w:t>
            </w:r>
            <w:proofErr w:type="spellStart"/>
            <w:r>
              <w:t>ActHIB</w:t>
            </w:r>
            <w:proofErr w:type="spellEnd"/>
            <w:r>
              <w:t xml:space="preserve"> and </w:t>
            </w:r>
            <w:proofErr w:type="spellStart"/>
            <w:r>
              <w:t>Hiberix</w:t>
            </w:r>
            <w:proofErr w:type="spellEnd"/>
            <w:r>
              <w:t>).</w:t>
            </w:r>
          </w:p>
        </w:tc>
        <w:tc>
          <w:tcPr>
            <w:tcW w:w="5399" w:type="dxa"/>
          </w:tcPr>
          <w:p w14:paraId="20BED660" w14:textId="1580B1BB" w:rsidR="00817530" w:rsidRPr="00E963B9" w:rsidRDefault="00817530" w:rsidP="00FA5F6D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6CB2">
              <w:t>[Refer to primary care provider for evaluation of risk and benefit of vaccination.]</w:t>
            </w:r>
          </w:p>
        </w:tc>
      </w:tr>
    </w:tbl>
    <w:p w14:paraId="52EB7641" w14:textId="77777777" w:rsidR="0015567C" w:rsidRDefault="0015567C" w:rsidP="00FA3AE0">
      <w:pPr>
        <w:pStyle w:val="Heading2"/>
        <w:keepNext/>
      </w:pPr>
      <w:r>
        <w:t>Prescription</w:t>
      </w:r>
    </w:p>
    <w:p w14:paraId="13BE0FAF" w14:textId="45C4DF58" w:rsidR="00270ABC" w:rsidRDefault="00270ABC" w:rsidP="00FA5F6D">
      <w:pPr>
        <w:pStyle w:val="Heading3"/>
      </w:pPr>
      <w:r>
        <w:t>Routine vaccination</w:t>
      </w:r>
    </w:p>
    <w:p w14:paraId="2FE8470A" w14:textId="26A4C9DF" w:rsidR="00B06208" w:rsidRDefault="006C664D" w:rsidP="00B82F67">
      <w:pPr>
        <w:pStyle w:val="ListBullet"/>
      </w:pPr>
      <w:r w:rsidRPr="006C664D">
        <w:t xml:space="preserve">Give </w:t>
      </w:r>
      <w:proofErr w:type="spellStart"/>
      <w:r w:rsidRPr="006C664D">
        <w:t>ActH</w:t>
      </w:r>
      <w:r w:rsidR="005B6D36">
        <w:t>IB</w:t>
      </w:r>
      <w:proofErr w:type="spellEnd"/>
      <w:r w:rsidRPr="006C664D">
        <w:t xml:space="preserve"> 0.5 ml</w:t>
      </w:r>
      <w:r w:rsidR="002728BF">
        <w:t xml:space="preserve"> or </w:t>
      </w:r>
      <w:proofErr w:type="spellStart"/>
      <w:r w:rsidR="002728BF">
        <w:t>Hiberix</w:t>
      </w:r>
      <w:proofErr w:type="spellEnd"/>
      <w:r w:rsidR="002728BF">
        <w:t xml:space="preserve"> 0.5 mL, </w:t>
      </w:r>
      <w:r w:rsidRPr="006C664D">
        <w:t xml:space="preserve"> </w:t>
      </w:r>
      <w:r w:rsidR="00270ABC">
        <w:t>intramuscularly (</w:t>
      </w:r>
      <w:r w:rsidRPr="006C664D">
        <w:t>IM</w:t>
      </w:r>
      <w:r w:rsidR="00270ABC">
        <w:t>)</w:t>
      </w:r>
      <w:r w:rsidRPr="006C664D">
        <w:t>, at age 2 months, 4 months, 6 months, and 12</w:t>
      </w:r>
      <w:r w:rsidR="00FE4496">
        <w:t>-</w:t>
      </w:r>
      <w:r w:rsidRPr="006C664D">
        <w:t>15 months</w:t>
      </w:r>
      <w:r w:rsidR="00CF1FDE">
        <w:t xml:space="preserve">, </w:t>
      </w:r>
      <w:r w:rsidR="00B82F67">
        <w:t>or</w:t>
      </w:r>
    </w:p>
    <w:p w14:paraId="7EBCE852" w14:textId="726437B3" w:rsidR="006D38A4" w:rsidRDefault="006D38A4" w:rsidP="00B82F67">
      <w:pPr>
        <w:pStyle w:val="ListBullet"/>
      </w:pPr>
      <w:r>
        <w:t xml:space="preserve">Give </w:t>
      </w:r>
      <w:proofErr w:type="spellStart"/>
      <w:r>
        <w:t>PedvaxHIB</w:t>
      </w:r>
      <w:proofErr w:type="spellEnd"/>
      <w:r>
        <w:t xml:space="preserve"> 0.5 mL, IM at age 2 months, 4 </w:t>
      </w:r>
      <w:r w:rsidR="00E511E8">
        <w:t>months,</w:t>
      </w:r>
      <w:r>
        <w:t xml:space="preserve"> and 12-15 months.</w:t>
      </w:r>
    </w:p>
    <w:p w14:paraId="2CDCA29B" w14:textId="167D2A4D" w:rsidR="009617E8" w:rsidRPr="00D91CC3" w:rsidRDefault="00270ABC" w:rsidP="00B82F67">
      <w:pPr>
        <w:pStyle w:val="Heading3"/>
      </w:pPr>
      <w:r>
        <w:t>Catch-up schedule</w:t>
      </w:r>
    </w:p>
    <w:p w14:paraId="5CBEA5B0" w14:textId="3423240D" w:rsidR="00E511E8" w:rsidRDefault="00E511E8" w:rsidP="00FD60A9">
      <w:pPr>
        <w:pStyle w:val="ListBullet"/>
      </w:pPr>
      <w:r w:rsidRPr="00FA5F6D">
        <w:rPr>
          <w:b/>
          <w:bCs/>
        </w:rPr>
        <w:t>Dose 1 at age 7–11 months</w:t>
      </w:r>
      <w:r>
        <w:t xml:space="preserve">: Administer dose 2 at least 4 weeks </w:t>
      </w:r>
      <w:r w:rsidR="00836A81">
        <w:t>after dose 1</w:t>
      </w:r>
      <w:r>
        <w:t xml:space="preserve"> and dose 3 (final dose) at age 12–15 months or 8 weeks after dose 2 (whichever is later).</w:t>
      </w:r>
    </w:p>
    <w:p w14:paraId="18E7350B" w14:textId="77777777" w:rsidR="00E511E8" w:rsidRDefault="00E511E8" w:rsidP="00FD60A9">
      <w:pPr>
        <w:pStyle w:val="ListBullet"/>
      </w:pPr>
      <w:r w:rsidRPr="00FA5F6D">
        <w:rPr>
          <w:b/>
          <w:bCs/>
        </w:rPr>
        <w:t>Dose 1 at age 12–14 months:</w:t>
      </w:r>
      <w:r>
        <w:t xml:space="preserve"> Administer dose 2 (final dose) at least 8 weeks after dose 1.</w:t>
      </w:r>
    </w:p>
    <w:p w14:paraId="78EAB43E" w14:textId="77777777" w:rsidR="00E511E8" w:rsidRDefault="00E511E8" w:rsidP="00FD60A9">
      <w:pPr>
        <w:pStyle w:val="ListBullet"/>
      </w:pPr>
      <w:r w:rsidRPr="00FA5F6D">
        <w:rPr>
          <w:b/>
          <w:bCs/>
        </w:rPr>
        <w:t>Dose 1 before age 12 months and dose 2 before age 15 months:</w:t>
      </w:r>
      <w:r>
        <w:t xml:space="preserve"> Administer dose 3 (final dose) at least 8 weeks after dose 2.</w:t>
      </w:r>
    </w:p>
    <w:p w14:paraId="5F11B924" w14:textId="77777777" w:rsidR="00E511E8" w:rsidRDefault="00E511E8" w:rsidP="00FD60A9">
      <w:pPr>
        <w:pStyle w:val="ListBullet"/>
      </w:pPr>
      <w:r w:rsidRPr="00FA5F6D">
        <w:rPr>
          <w:b/>
          <w:bCs/>
        </w:rPr>
        <w:t xml:space="preserve">2 doses of </w:t>
      </w:r>
      <w:proofErr w:type="spellStart"/>
      <w:r w:rsidRPr="00FA5F6D">
        <w:rPr>
          <w:b/>
          <w:bCs/>
        </w:rPr>
        <w:t>PedvaxHIB</w:t>
      </w:r>
      <w:proofErr w:type="spellEnd"/>
      <w:r w:rsidRPr="00FA5F6D">
        <w:rPr>
          <w:b/>
          <w:bCs/>
        </w:rPr>
        <w:t>® before age 12 months:</w:t>
      </w:r>
      <w:r>
        <w:t xml:space="preserve"> Administer dose 3 (final dose) at age 12–59 months and at least 8 weeks after dose 2.</w:t>
      </w:r>
    </w:p>
    <w:p w14:paraId="45F8756A" w14:textId="77777777" w:rsidR="00E511E8" w:rsidRDefault="00E511E8" w:rsidP="00FD60A9">
      <w:pPr>
        <w:pStyle w:val="ListBullet"/>
      </w:pPr>
      <w:r w:rsidRPr="002E0047">
        <w:rPr>
          <w:b/>
          <w:bCs/>
        </w:rPr>
        <w:t>1 dose administered at age 15 months or older</w:t>
      </w:r>
      <w:r w:rsidRPr="00FA5F6D">
        <w:t xml:space="preserve">: </w:t>
      </w:r>
      <w:r>
        <w:t>No further doses needed</w:t>
      </w:r>
    </w:p>
    <w:p w14:paraId="67BD4D74" w14:textId="77777777" w:rsidR="00E511E8" w:rsidRDefault="00E511E8" w:rsidP="00FD60A9">
      <w:pPr>
        <w:pStyle w:val="ListBullet"/>
      </w:pPr>
      <w:r w:rsidRPr="002E0047">
        <w:rPr>
          <w:b/>
          <w:bCs/>
        </w:rPr>
        <w:t>Unvaccinated at age 15–59 months</w:t>
      </w:r>
      <w:r w:rsidRPr="00FA5F6D">
        <w:t>:</w:t>
      </w:r>
      <w:r>
        <w:t xml:space="preserve"> Administer 1 dose.</w:t>
      </w:r>
    </w:p>
    <w:p w14:paraId="28898CD3" w14:textId="1FD149D0" w:rsidR="00E511E8" w:rsidRDefault="00E511E8" w:rsidP="00FD60A9">
      <w:pPr>
        <w:pStyle w:val="ListBullet"/>
      </w:pPr>
      <w:r w:rsidRPr="002E0047">
        <w:rPr>
          <w:b/>
          <w:bCs/>
        </w:rPr>
        <w:t>Previously unvaccinated children age 60 months or older who are not considered high risk</w:t>
      </w:r>
      <w:r w:rsidRPr="00FA5F6D">
        <w:t>:</w:t>
      </w:r>
      <w:r>
        <w:t xml:space="preserve"> Do not require catch-up vaccination</w:t>
      </w:r>
    </w:p>
    <w:p w14:paraId="3B649D01" w14:textId="601E0BDA" w:rsidR="009A7241" w:rsidRDefault="009A7241" w:rsidP="00FA5F6D">
      <w:pPr>
        <w:pStyle w:val="Heading3"/>
      </w:pPr>
      <w:r>
        <w:t xml:space="preserve">Special situations </w:t>
      </w:r>
    </w:p>
    <w:p w14:paraId="6D761BD9" w14:textId="54525FC4" w:rsidR="009A7241" w:rsidRDefault="009A7241" w:rsidP="00CF1FDE">
      <w:pPr>
        <w:pStyle w:val="ListBullet"/>
      </w:pPr>
      <w:r w:rsidRPr="004A3EC9">
        <w:t>Chemotherapy or radiation treatment</w:t>
      </w:r>
      <w:r>
        <w:t>:</w:t>
      </w:r>
      <w:r w:rsidR="00AB0232">
        <w:t xml:space="preserve"> </w:t>
      </w:r>
      <w:r>
        <w:t>Age 12–59 months</w:t>
      </w:r>
    </w:p>
    <w:p w14:paraId="6717559B" w14:textId="77777777" w:rsidR="009A7241" w:rsidRDefault="009A7241" w:rsidP="00CF1FDE">
      <w:pPr>
        <w:pStyle w:val="ListBullet"/>
        <w:numPr>
          <w:ilvl w:val="1"/>
          <w:numId w:val="18"/>
        </w:numPr>
      </w:pPr>
      <w:r>
        <w:t>Unvaccinated or only 1 dose before age 12 months: 2 doses, 8 weeks apart</w:t>
      </w:r>
    </w:p>
    <w:p w14:paraId="053C0C3B" w14:textId="77777777" w:rsidR="009A7241" w:rsidRDefault="009A7241" w:rsidP="00CF1FDE">
      <w:pPr>
        <w:pStyle w:val="ListBullet"/>
        <w:numPr>
          <w:ilvl w:val="1"/>
          <w:numId w:val="18"/>
        </w:numPr>
      </w:pPr>
      <w:r>
        <w:t>2 or more doses before age 12 months: 1 dose at least 8 weeks after previous dose</w:t>
      </w:r>
    </w:p>
    <w:p w14:paraId="6BADDCA4" w14:textId="77777777" w:rsidR="009A7241" w:rsidRDefault="009A7241" w:rsidP="00CF1FDE">
      <w:pPr>
        <w:pStyle w:val="ListBullet"/>
        <w:numPr>
          <w:ilvl w:val="1"/>
          <w:numId w:val="18"/>
        </w:numPr>
      </w:pPr>
      <w:r>
        <w:t>Doses administered within 14 days of starting therapy or during therapy should be repeated at least 3 months after therapy completion.</w:t>
      </w:r>
    </w:p>
    <w:p w14:paraId="160133DF" w14:textId="77777777" w:rsidR="009A7241" w:rsidRDefault="009A7241" w:rsidP="00CF1FDE">
      <w:pPr>
        <w:pStyle w:val="ListBullet"/>
      </w:pPr>
      <w:r>
        <w:lastRenderedPageBreak/>
        <w:t>Hematopoietic stem cell transplant (HSCT):</w:t>
      </w:r>
    </w:p>
    <w:p w14:paraId="472FBA3E" w14:textId="77777777" w:rsidR="009A7241" w:rsidRDefault="009A7241" w:rsidP="00CF1FDE">
      <w:pPr>
        <w:pStyle w:val="ListBullet"/>
        <w:numPr>
          <w:ilvl w:val="1"/>
          <w:numId w:val="18"/>
        </w:numPr>
      </w:pPr>
      <w:r>
        <w:t>3-dose series 4 weeks apart starting 6 to 12 months after successful transplant regardless of Hib vaccination history</w:t>
      </w:r>
    </w:p>
    <w:p w14:paraId="22DE58BC" w14:textId="39D0CC0C" w:rsidR="009A7241" w:rsidRDefault="009A7241" w:rsidP="00CF1FDE">
      <w:pPr>
        <w:pStyle w:val="ListBullet"/>
      </w:pPr>
      <w:r>
        <w:t>Anatomic or functional asplenia (including sickle cell disease):</w:t>
      </w:r>
      <w:r w:rsidR="00F75C41">
        <w:t xml:space="preserve"> </w:t>
      </w:r>
      <w:r>
        <w:t>Age 12–59 months</w:t>
      </w:r>
    </w:p>
    <w:p w14:paraId="46FEE735" w14:textId="77777777" w:rsidR="009A7241" w:rsidRDefault="009A7241" w:rsidP="00CF1FDE">
      <w:pPr>
        <w:pStyle w:val="ListBullet"/>
        <w:numPr>
          <w:ilvl w:val="1"/>
          <w:numId w:val="18"/>
        </w:numPr>
      </w:pPr>
      <w:r>
        <w:t>Unvaccinated or only 1 dose before age 12 months: 2 doses, 8 weeks apart</w:t>
      </w:r>
    </w:p>
    <w:p w14:paraId="3BF8BDF6" w14:textId="77777777" w:rsidR="009A7241" w:rsidRDefault="009A7241" w:rsidP="00CF1FDE">
      <w:pPr>
        <w:pStyle w:val="ListBullet"/>
        <w:numPr>
          <w:ilvl w:val="1"/>
          <w:numId w:val="18"/>
        </w:numPr>
      </w:pPr>
      <w:r>
        <w:t>2 or more doses before age 12 months: 1 dose at least 8 weeks after previous dose</w:t>
      </w:r>
    </w:p>
    <w:p w14:paraId="1954AC3D" w14:textId="05FF1512" w:rsidR="009A7241" w:rsidRDefault="009A7241" w:rsidP="00CF1FDE">
      <w:pPr>
        <w:pStyle w:val="ListBullet"/>
        <w:numPr>
          <w:ilvl w:val="1"/>
          <w:numId w:val="18"/>
        </w:numPr>
      </w:pPr>
      <w:r>
        <w:t>Unvaccinated* persons age 5 years or older</w:t>
      </w:r>
      <w:r w:rsidR="00F75C41">
        <w:t>:</w:t>
      </w:r>
      <w:r w:rsidR="00EE19D4">
        <w:t xml:space="preserve"> </w:t>
      </w:r>
      <w:r>
        <w:t>1 dose</w:t>
      </w:r>
    </w:p>
    <w:p w14:paraId="60606F5C" w14:textId="77777777" w:rsidR="009A7241" w:rsidRDefault="009A7241" w:rsidP="00CF1FDE">
      <w:pPr>
        <w:pStyle w:val="ListBullet"/>
      </w:pPr>
      <w:r>
        <w:t>Elective splenectomy:</w:t>
      </w:r>
    </w:p>
    <w:p w14:paraId="16979A67" w14:textId="78F07BE8" w:rsidR="009A7241" w:rsidRDefault="009A7241" w:rsidP="00CF1FDE">
      <w:pPr>
        <w:pStyle w:val="ListBullet"/>
        <w:numPr>
          <w:ilvl w:val="1"/>
          <w:numId w:val="18"/>
        </w:numPr>
      </w:pPr>
      <w:r>
        <w:t>Unvaccinated* persons age 15 months or older</w:t>
      </w:r>
      <w:r w:rsidR="00EE19D4">
        <w:t xml:space="preserve">: </w:t>
      </w:r>
      <w:r>
        <w:t>1 dose (preferably at least 14 days before procedure)</w:t>
      </w:r>
    </w:p>
    <w:p w14:paraId="32F9522C" w14:textId="3F60CC29" w:rsidR="009A7241" w:rsidRDefault="009A7241" w:rsidP="00CF1FDE">
      <w:pPr>
        <w:pStyle w:val="ListBullet"/>
      </w:pPr>
      <w:r>
        <w:t>HIV infection:</w:t>
      </w:r>
      <w:r w:rsidR="00EE19D4">
        <w:t xml:space="preserve"> </w:t>
      </w:r>
      <w:r>
        <w:t>Age 12–59 months</w:t>
      </w:r>
    </w:p>
    <w:p w14:paraId="21D2342F" w14:textId="77777777" w:rsidR="009A7241" w:rsidRDefault="009A7241" w:rsidP="00CF1FDE">
      <w:pPr>
        <w:pStyle w:val="ListBullet"/>
        <w:numPr>
          <w:ilvl w:val="1"/>
          <w:numId w:val="18"/>
        </w:numPr>
      </w:pPr>
      <w:r>
        <w:t>Unvaccinated or only 1 dose before age 12 months: 2 doses, 8 weeks apart</w:t>
      </w:r>
    </w:p>
    <w:p w14:paraId="1828AC85" w14:textId="77777777" w:rsidR="009A7241" w:rsidRDefault="009A7241" w:rsidP="00CF1FDE">
      <w:pPr>
        <w:pStyle w:val="ListBullet"/>
        <w:numPr>
          <w:ilvl w:val="1"/>
          <w:numId w:val="18"/>
        </w:numPr>
      </w:pPr>
      <w:r>
        <w:t>2 or more doses before age 12 months: 1 dose at least 8 weeks after previous dose</w:t>
      </w:r>
    </w:p>
    <w:p w14:paraId="20864A0B" w14:textId="5D2D3636" w:rsidR="009A7241" w:rsidRDefault="009A7241" w:rsidP="00CF1FDE">
      <w:pPr>
        <w:pStyle w:val="ListBullet"/>
        <w:numPr>
          <w:ilvl w:val="1"/>
          <w:numId w:val="18"/>
        </w:numPr>
      </w:pPr>
      <w:r>
        <w:t>Unvaccinated* persons age 5–18 years</w:t>
      </w:r>
      <w:r w:rsidR="00EE19D4">
        <w:t xml:space="preserve">: </w:t>
      </w:r>
      <w:r>
        <w:t>1 dose</w:t>
      </w:r>
    </w:p>
    <w:p w14:paraId="749D62A0" w14:textId="40968CE8" w:rsidR="009A7241" w:rsidRDefault="009A7241" w:rsidP="00CF1FDE">
      <w:pPr>
        <w:pStyle w:val="ListBullet"/>
      </w:pPr>
      <w:r>
        <w:t>Immunoglobulin deficiency, early component complement deficiency:</w:t>
      </w:r>
      <w:r w:rsidR="00EE19D4">
        <w:t xml:space="preserve"> </w:t>
      </w:r>
      <w:r>
        <w:t>Age 12–59 months</w:t>
      </w:r>
    </w:p>
    <w:p w14:paraId="54DD93E0" w14:textId="77777777" w:rsidR="009A7241" w:rsidRDefault="009A7241" w:rsidP="00CF1FDE">
      <w:pPr>
        <w:pStyle w:val="ListBullet"/>
        <w:numPr>
          <w:ilvl w:val="1"/>
          <w:numId w:val="18"/>
        </w:numPr>
      </w:pPr>
      <w:r>
        <w:t>Unvaccinated or only 1 dose before age 12 months: 2 doses, 8 weeks apart</w:t>
      </w:r>
    </w:p>
    <w:p w14:paraId="69F9964A" w14:textId="77777777" w:rsidR="00EE19D4" w:rsidRDefault="009A7241" w:rsidP="00CF1FDE">
      <w:pPr>
        <w:pStyle w:val="ListBullet"/>
        <w:numPr>
          <w:ilvl w:val="1"/>
          <w:numId w:val="18"/>
        </w:numPr>
      </w:pPr>
      <w:r>
        <w:t>2 or more doses before age 12 months: 1 dose at least 8 weeks after previous dose</w:t>
      </w:r>
    </w:p>
    <w:p w14:paraId="2B135C19" w14:textId="690117C4" w:rsidR="009A7241" w:rsidRPr="00E511E8" w:rsidRDefault="009A7241" w:rsidP="00EE19D4">
      <w:r>
        <w:t>*Unvaccinated = Less than routine series (through age 14 months) OR no doses (age 15 months or older)</w:t>
      </w:r>
    </w:p>
    <w:p w14:paraId="47F71219" w14:textId="12E4429E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F20BDD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67B66FCD" w:rsidR="00AA3A38" w:rsidRPr="007D53F2" w:rsidRDefault="00B26E21" w:rsidP="007D53F2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sectPr w:rsidR="00AA3A38" w:rsidRPr="007D53F2" w:rsidSect="00C24F1A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864" w:bottom="432" w:left="864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7C32" w14:textId="77777777" w:rsidR="00032807" w:rsidRDefault="00032807" w:rsidP="00D36495">
      <w:r>
        <w:separator/>
      </w:r>
    </w:p>
  </w:endnote>
  <w:endnote w:type="continuationSeparator" w:id="0">
    <w:p w14:paraId="3BEBE9B6" w14:textId="77777777" w:rsidR="00032807" w:rsidRDefault="00032807" w:rsidP="00D36495">
      <w:r>
        <w:continuationSeparator/>
      </w:r>
    </w:p>
  </w:endnote>
  <w:endnote w:type="continuationNotice" w:id="1">
    <w:p w14:paraId="794AB771" w14:textId="77777777" w:rsidR="00032807" w:rsidRDefault="0003280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05EE" w14:textId="77777777" w:rsidR="00032807" w:rsidRDefault="00032807" w:rsidP="00D36495">
      <w:r>
        <w:separator/>
      </w:r>
    </w:p>
  </w:footnote>
  <w:footnote w:type="continuationSeparator" w:id="0">
    <w:p w14:paraId="1A1D3568" w14:textId="77777777" w:rsidR="00032807" w:rsidRDefault="00032807" w:rsidP="00D36495">
      <w:r>
        <w:continuationSeparator/>
      </w:r>
    </w:p>
  </w:footnote>
  <w:footnote w:type="continuationNotice" w:id="1">
    <w:p w14:paraId="43205933" w14:textId="77777777" w:rsidR="00032807" w:rsidRDefault="0003280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2B1DF6CA" w:rsidR="00782710" w:rsidRPr="007C1645" w:rsidRDefault="006C664D" w:rsidP="006C664D">
    <w:pPr>
      <w:pStyle w:val="Header"/>
    </w:pPr>
    <w:r w:rsidRPr="00FA5F6D">
      <w:rPr>
        <w:i/>
        <w:iCs/>
      </w:rPr>
      <w:t>Haemophilus Influenza</w:t>
    </w:r>
    <w:r w:rsidRPr="00F4380C">
      <w:t xml:space="preserve">, Type b (Hib) </w:t>
    </w:r>
    <w:r w:rsidR="006849B4">
      <w:t xml:space="preserve">routine </w:t>
    </w:r>
    <w:r w:rsidR="002E0047">
      <w:t>and</w:t>
    </w:r>
    <w:r w:rsidR="00761646">
      <w:t xml:space="preserve"> </w:t>
    </w:r>
    <w:r w:rsidR="00172C8F">
      <w:t xml:space="preserve">catch-up </w:t>
    </w:r>
    <w:r>
      <w:t>Vaccine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39E3F10"/>
    <w:multiLevelType w:val="hybridMultilevel"/>
    <w:tmpl w:val="2084E5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E6779"/>
    <w:multiLevelType w:val="multilevel"/>
    <w:tmpl w:val="BADA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DC13B7"/>
    <w:multiLevelType w:val="multilevel"/>
    <w:tmpl w:val="88B4C196"/>
    <w:numStyleLink w:val="Listbullets"/>
  </w:abstractNum>
  <w:abstractNum w:abstractNumId="8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147EF"/>
    <w:multiLevelType w:val="multilevel"/>
    <w:tmpl w:val="88B4C196"/>
    <w:numStyleLink w:val="Listbullets"/>
  </w:abstractNum>
  <w:abstractNum w:abstractNumId="10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52030"/>
    <w:multiLevelType w:val="hybridMultilevel"/>
    <w:tmpl w:val="2B98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597063646">
    <w:abstractNumId w:val="13"/>
  </w:num>
  <w:num w:numId="2" w16cid:durableId="127162412">
    <w:abstractNumId w:val="1"/>
  </w:num>
  <w:num w:numId="3" w16cid:durableId="1875650278">
    <w:abstractNumId w:val="0"/>
  </w:num>
  <w:num w:numId="4" w16cid:durableId="1693217712">
    <w:abstractNumId w:val="11"/>
  </w:num>
  <w:num w:numId="5" w16cid:durableId="1324628710">
    <w:abstractNumId w:val="16"/>
  </w:num>
  <w:num w:numId="6" w16cid:durableId="311570947">
    <w:abstractNumId w:val="3"/>
  </w:num>
  <w:num w:numId="7" w16cid:durableId="870145960">
    <w:abstractNumId w:val="2"/>
  </w:num>
  <w:num w:numId="8" w16cid:durableId="302388362">
    <w:abstractNumId w:val="9"/>
  </w:num>
  <w:num w:numId="9" w16cid:durableId="183859324">
    <w:abstractNumId w:val="7"/>
    <w:lvlOverride w:ilvl="0">
      <w:lvl w:ilvl="0">
        <w:start w:val="1"/>
        <w:numFmt w:val="bullet"/>
        <w:pStyle w:val="ListBullet"/>
        <w:lvlText w:val="▪"/>
        <w:lvlJc w:val="left"/>
        <w:pPr>
          <w:tabs>
            <w:tab w:val="num" w:pos="432"/>
          </w:tabs>
          <w:ind w:left="360" w:hanging="360"/>
        </w:pPr>
        <w:rPr>
          <w:rFonts w:ascii="Calibri" w:hAnsi="Calibri" w:hint="default"/>
          <w:color w:val="008EAA"/>
          <w:sz w:val="24"/>
          <w:szCs w:val="24"/>
        </w:rPr>
      </w:lvl>
    </w:lvlOverride>
  </w:num>
  <w:num w:numId="10" w16cid:durableId="1479761048">
    <w:abstractNumId w:val="14"/>
  </w:num>
  <w:num w:numId="11" w16cid:durableId="509219385">
    <w:abstractNumId w:val="12"/>
  </w:num>
  <w:num w:numId="12" w16cid:durableId="1024357827">
    <w:abstractNumId w:val="8"/>
  </w:num>
  <w:num w:numId="13" w16cid:durableId="1929264058">
    <w:abstractNumId w:val="10"/>
  </w:num>
  <w:num w:numId="14" w16cid:durableId="946278413">
    <w:abstractNumId w:val="6"/>
  </w:num>
  <w:num w:numId="15" w16cid:durableId="381950430">
    <w:abstractNumId w:val="4"/>
  </w:num>
  <w:num w:numId="16" w16cid:durableId="1017390858">
    <w:abstractNumId w:val="15"/>
  </w:num>
  <w:num w:numId="17" w16cid:durableId="1940988830">
    <w:abstractNumId w:val="5"/>
  </w:num>
  <w:num w:numId="18" w16cid:durableId="182435062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17E0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807"/>
    <w:rsid w:val="00032B98"/>
    <w:rsid w:val="00032F92"/>
    <w:rsid w:val="00033BA3"/>
    <w:rsid w:val="00034366"/>
    <w:rsid w:val="00036461"/>
    <w:rsid w:val="000367DD"/>
    <w:rsid w:val="000369CF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712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DB6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2FE0"/>
    <w:rsid w:val="000E3716"/>
    <w:rsid w:val="000E3D1F"/>
    <w:rsid w:val="000E468E"/>
    <w:rsid w:val="000E542E"/>
    <w:rsid w:val="000E7CAF"/>
    <w:rsid w:val="000E7E99"/>
    <w:rsid w:val="000F06EF"/>
    <w:rsid w:val="000F1830"/>
    <w:rsid w:val="000F1FDA"/>
    <w:rsid w:val="000F252A"/>
    <w:rsid w:val="000F30A3"/>
    <w:rsid w:val="000F3386"/>
    <w:rsid w:val="000F4EB3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335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2C8F"/>
    <w:rsid w:val="001733FD"/>
    <w:rsid w:val="00173894"/>
    <w:rsid w:val="001753DF"/>
    <w:rsid w:val="001754B2"/>
    <w:rsid w:val="0017571A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03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07A5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43A"/>
    <w:rsid w:val="001F58A5"/>
    <w:rsid w:val="001F66B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06A9B"/>
    <w:rsid w:val="00210009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6CFD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38F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0ABC"/>
    <w:rsid w:val="00271DDA"/>
    <w:rsid w:val="002726CA"/>
    <w:rsid w:val="002728BF"/>
    <w:rsid w:val="00272FEF"/>
    <w:rsid w:val="00273A21"/>
    <w:rsid w:val="002751BC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6A6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09FD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FE8"/>
    <w:rsid w:val="002D023A"/>
    <w:rsid w:val="002D08A9"/>
    <w:rsid w:val="002D093E"/>
    <w:rsid w:val="002D0A48"/>
    <w:rsid w:val="002D0BEE"/>
    <w:rsid w:val="002D0D48"/>
    <w:rsid w:val="002D1035"/>
    <w:rsid w:val="002D3145"/>
    <w:rsid w:val="002D453B"/>
    <w:rsid w:val="002D6445"/>
    <w:rsid w:val="002D6650"/>
    <w:rsid w:val="002D6A79"/>
    <w:rsid w:val="002D72C3"/>
    <w:rsid w:val="002D733A"/>
    <w:rsid w:val="002D75E6"/>
    <w:rsid w:val="002E0047"/>
    <w:rsid w:val="002E1353"/>
    <w:rsid w:val="002E15F2"/>
    <w:rsid w:val="002E1AE4"/>
    <w:rsid w:val="002E264B"/>
    <w:rsid w:val="002E3244"/>
    <w:rsid w:val="002E32C9"/>
    <w:rsid w:val="002E3BF4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DC5"/>
    <w:rsid w:val="0030124E"/>
    <w:rsid w:val="003013B3"/>
    <w:rsid w:val="00302059"/>
    <w:rsid w:val="0030298A"/>
    <w:rsid w:val="003033DD"/>
    <w:rsid w:val="00304A4C"/>
    <w:rsid w:val="003050F9"/>
    <w:rsid w:val="0030560B"/>
    <w:rsid w:val="003100B0"/>
    <w:rsid w:val="003101F9"/>
    <w:rsid w:val="00310424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354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CEF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8A0"/>
    <w:rsid w:val="00377080"/>
    <w:rsid w:val="003775E9"/>
    <w:rsid w:val="003806B9"/>
    <w:rsid w:val="00381172"/>
    <w:rsid w:val="003817AE"/>
    <w:rsid w:val="00382C89"/>
    <w:rsid w:val="003839DA"/>
    <w:rsid w:val="003842E7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BDD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3417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1AA"/>
    <w:rsid w:val="00406DE8"/>
    <w:rsid w:val="004074C2"/>
    <w:rsid w:val="004103E1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7B5D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6784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3EC9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5336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324"/>
    <w:rsid w:val="00513442"/>
    <w:rsid w:val="00513B93"/>
    <w:rsid w:val="00513C5F"/>
    <w:rsid w:val="00515B20"/>
    <w:rsid w:val="00515CCC"/>
    <w:rsid w:val="00516A92"/>
    <w:rsid w:val="00517ABE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B8"/>
    <w:rsid w:val="00581795"/>
    <w:rsid w:val="00582090"/>
    <w:rsid w:val="00582B20"/>
    <w:rsid w:val="00583615"/>
    <w:rsid w:val="005837A8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6D36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0E5"/>
    <w:rsid w:val="005E47D7"/>
    <w:rsid w:val="005E5002"/>
    <w:rsid w:val="005E568F"/>
    <w:rsid w:val="005E5C33"/>
    <w:rsid w:val="005E6CEC"/>
    <w:rsid w:val="005E7342"/>
    <w:rsid w:val="005E7413"/>
    <w:rsid w:val="005E775C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4C16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42AF"/>
    <w:rsid w:val="00616BA0"/>
    <w:rsid w:val="006174D9"/>
    <w:rsid w:val="0061757E"/>
    <w:rsid w:val="00617ABB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BF7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237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0C"/>
    <w:rsid w:val="00675033"/>
    <w:rsid w:val="00675919"/>
    <w:rsid w:val="00675CFB"/>
    <w:rsid w:val="00676A67"/>
    <w:rsid w:val="00680BC8"/>
    <w:rsid w:val="00681464"/>
    <w:rsid w:val="00683883"/>
    <w:rsid w:val="006841D5"/>
    <w:rsid w:val="006849B4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9C8"/>
    <w:rsid w:val="00695ECF"/>
    <w:rsid w:val="006A0227"/>
    <w:rsid w:val="006A05D9"/>
    <w:rsid w:val="006A06AC"/>
    <w:rsid w:val="006A230D"/>
    <w:rsid w:val="006A2471"/>
    <w:rsid w:val="006A3584"/>
    <w:rsid w:val="006A397D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E73"/>
    <w:rsid w:val="006B2EA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64D"/>
    <w:rsid w:val="006C6A53"/>
    <w:rsid w:val="006C74B7"/>
    <w:rsid w:val="006C7588"/>
    <w:rsid w:val="006D0794"/>
    <w:rsid w:val="006D0A93"/>
    <w:rsid w:val="006D0E2C"/>
    <w:rsid w:val="006D1235"/>
    <w:rsid w:val="006D12CD"/>
    <w:rsid w:val="006D1413"/>
    <w:rsid w:val="006D248C"/>
    <w:rsid w:val="006D2D2A"/>
    <w:rsid w:val="006D351E"/>
    <w:rsid w:val="006D36BF"/>
    <w:rsid w:val="006D38A4"/>
    <w:rsid w:val="006D430B"/>
    <w:rsid w:val="006D43D8"/>
    <w:rsid w:val="006D4D5C"/>
    <w:rsid w:val="006D690D"/>
    <w:rsid w:val="006D7009"/>
    <w:rsid w:val="006D751B"/>
    <w:rsid w:val="006E12BB"/>
    <w:rsid w:val="006E1788"/>
    <w:rsid w:val="006E17EA"/>
    <w:rsid w:val="006E2424"/>
    <w:rsid w:val="006E2D22"/>
    <w:rsid w:val="006E303E"/>
    <w:rsid w:val="006E350D"/>
    <w:rsid w:val="006E5A22"/>
    <w:rsid w:val="006F0136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504"/>
    <w:rsid w:val="00711E37"/>
    <w:rsid w:val="007144FE"/>
    <w:rsid w:val="00714586"/>
    <w:rsid w:val="00714D8F"/>
    <w:rsid w:val="0071546B"/>
    <w:rsid w:val="00716254"/>
    <w:rsid w:val="00716905"/>
    <w:rsid w:val="007203CE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643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5B3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1646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AAE"/>
    <w:rsid w:val="00783D0F"/>
    <w:rsid w:val="00784C4C"/>
    <w:rsid w:val="007853E3"/>
    <w:rsid w:val="007859A9"/>
    <w:rsid w:val="0078650A"/>
    <w:rsid w:val="007869EE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0E9"/>
    <w:rsid w:val="007A12A4"/>
    <w:rsid w:val="007A1BA1"/>
    <w:rsid w:val="007A379B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645"/>
    <w:rsid w:val="007C1822"/>
    <w:rsid w:val="007C1C5F"/>
    <w:rsid w:val="007C3590"/>
    <w:rsid w:val="007C3D9D"/>
    <w:rsid w:val="007C4115"/>
    <w:rsid w:val="007C4F3C"/>
    <w:rsid w:val="007C6E10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3F2"/>
    <w:rsid w:val="007D557D"/>
    <w:rsid w:val="007D558B"/>
    <w:rsid w:val="007D5A95"/>
    <w:rsid w:val="007D7137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0DF"/>
    <w:rsid w:val="007E5327"/>
    <w:rsid w:val="007E537B"/>
    <w:rsid w:val="007E63EA"/>
    <w:rsid w:val="007E643C"/>
    <w:rsid w:val="007E6E31"/>
    <w:rsid w:val="007F0190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31A"/>
    <w:rsid w:val="00817530"/>
    <w:rsid w:val="00817983"/>
    <w:rsid w:val="00817B7B"/>
    <w:rsid w:val="008219BB"/>
    <w:rsid w:val="00822457"/>
    <w:rsid w:val="00822718"/>
    <w:rsid w:val="00822803"/>
    <w:rsid w:val="00823EE8"/>
    <w:rsid w:val="00823F14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A81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47B16"/>
    <w:rsid w:val="008529CC"/>
    <w:rsid w:val="008531CA"/>
    <w:rsid w:val="00853AD4"/>
    <w:rsid w:val="008541ED"/>
    <w:rsid w:val="008545C9"/>
    <w:rsid w:val="00855393"/>
    <w:rsid w:val="008554D4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CDE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66AB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F52"/>
    <w:rsid w:val="008F029F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B8A"/>
    <w:rsid w:val="00927A12"/>
    <w:rsid w:val="00927C2A"/>
    <w:rsid w:val="0093082F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051E"/>
    <w:rsid w:val="009610E4"/>
    <w:rsid w:val="00961114"/>
    <w:rsid w:val="009617E8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A18"/>
    <w:rsid w:val="00970BAE"/>
    <w:rsid w:val="00970BCD"/>
    <w:rsid w:val="0097283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317B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1DF9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A7241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49A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85B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0E55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12C0"/>
    <w:rsid w:val="00AA28EF"/>
    <w:rsid w:val="00AA2CDA"/>
    <w:rsid w:val="00AA2E22"/>
    <w:rsid w:val="00AA3A38"/>
    <w:rsid w:val="00AA4651"/>
    <w:rsid w:val="00AA4B0A"/>
    <w:rsid w:val="00AA4F36"/>
    <w:rsid w:val="00AA5377"/>
    <w:rsid w:val="00AA5493"/>
    <w:rsid w:val="00AA5B55"/>
    <w:rsid w:val="00AA62FE"/>
    <w:rsid w:val="00AA669B"/>
    <w:rsid w:val="00AA6895"/>
    <w:rsid w:val="00AA74A0"/>
    <w:rsid w:val="00AB022A"/>
    <w:rsid w:val="00AB0232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1A4E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64C"/>
    <w:rsid w:val="00AF1916"/>
    <w:rsid w:val="00AF24E5"/>
    <w:rsid w:val="00AF25BE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208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AF8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28CB"/>
    <w:rsid w:val="00B82F67"/>
    <w:rsid w:val="00B8309C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1FB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8D4"/>
    <w:rsid w:val="00BF5934"/>
    <w:rsid w:val="00BF626F"/>
    <w:rsid w:val="00BF67A0"/>
    <w:rsid w:val="00BF6F5B"/>
    <w:rsid w:val="00BF7890"/>
    <w:rsid w:val="00BF7FD7"/>
    <w:rsid w:val="00C00CE3"/>
    <w:rsid w:val="00C014C9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EB4"/>
    <w:rsid w:val="00C24A54"/>
    <w:rsid w:val="00C24F1A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5CE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266"/>
    <w:rsid w:val="00C607F3"/>
    <w:rsid w:val="00C608C5"/>
    <w:rsid w:val="00C60CC3"/>
    <w:rsid w:val="00C60DD6"/>
    <w:rsid w:val="00C612AC"/>
    <w:rsid w:val="00C61F61"/>
    <w:rsid w:val="00C626EC"/>
    <w:rsid w:val="00C6290C"/>
    <w:rsid w:val="00C62A58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3577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3B1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A6CD3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646"/>
    <w:rsid w:val="00CC5BCE"/>
    <w:rsid w:val="00CC6150"/>
    <w:rsid w:val="00CC650A"/>
    <w:rsid w:val="00CC687D"/>
    <w:rsid w:val="00CC6A12"/>
    <w:rsid w:val="00CC713C"/>
    <w:rsid w:val="00CD0087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1FDE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074F5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40C"/>
    <w:rsid w:val="00D37C6F"/>
    <w:rsid w:val="00D37D8B"/>
    <w:rsid w:val="00D416FE"/>
    <w:rsid w:val="00D432E5"/>
    <w:rsid w:val="00D43A2C"/>
    <w:rsid w:val="00D43B51"/>
    <w:rsid w:val="00D448F0"/>
    <w:rsid w:val="00D44FF3"/>
    <w:rsid w:val="00D45433"/>
    <w:rsid w:val="00D4598F"/>
    <w:rsid w:val="00D45AFE"/>
    <w:rsid w:val="00D45F37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6A2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134"/>
    <w:rsid w:val="00D8639F"/>
    <w:rsid w:val="00D86627"/>
    <w:rsid w:val="00D871C1"/>
    <w:rsid w:val="00D87A42"/>
    <w:rsid w:val="00D87AB1"/>
    <w:rsid w:val="00D90872"/>
    <w:rsid w:val="00D91949"/>
    <w:rsid w:val="00D91AF3"/>
    <w:rsid w:val="00D91CC3"/>
    <w:rsid w:val="00D92BEB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3297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4DAB"/>
    <w:rsid w:val="00DD55DE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4C2"/>
    <w:rsid w:val="00DF38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27A30"/>
    <w:rsid w:val="00E27C24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1E8"/>
    <w:rsid w:val="00E51BDE"/>
    <w:rsid w:val="00E523E4"/>
    <w:rsid w:val="00E52D7B"/>
    <w:rsid w:val="00E531C2"/>
    <w:rsid w:val="00E53639"/>
    <w:rsid w:val="00E55254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09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7CB"/>
    <w:rsid w:val="00E929AA"/>
    <w:rsid w:val="00E929CD"/>
    <w:rsid w:val="00E936A7"/>
    <w:rsid w:val="00E93762"/>
    <w:rsid w:val="00E9398F"/>
    <w:rsid w:val="00E939DE"/>
    <w:rsid w:val="00E944E2"/>
    <w:rsid w:val="00E95062"/>
    <w:rsid w:val="00E963B9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722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9D4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1AF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4D2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BDD"/>
    <w:rsid w:val="00F21C4A"/>
    <w:rsid w:val="00F21C79"/>
    <w:rsid w:val="00F22D91"/>
    <w:rsid w:val="00F22E95"/>
    <w:rsid w:val="00F2378D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37DFF"/>
    <w:rsid w:val="00F4380C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1F74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75C41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AE0"/>
    <w:rsid w:val="00FA45D6"/>
    <w:rsid w:val="00FA4AF8"/>
    <w:rsid w:val="00FA5F6D"/>
    <w:rsid w:val="00FA6D1D"/>
    <w:rsid w:val="00FB009E"/>
    <w:rsid w:val="00FB035A"/>
    <w:rsid w:val="00FB0AB5"/>
    <w:rsid w:val="00FB12EA"/>
    <w:rsid w:val="00FB135F"/>
    <w:rsid w:val="00FB1FC2"/>
    <w:rsid w:val="00FB235F"/>
    <w:rsid w:val="00FB3FDE"/>
    <w:rsid w:val="00FB42CA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0A9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4496"/>
    <w:rsid w:val="00FE6217"/>
    <w:rsid w:val="00FE663F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3B80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6C91713"/>
    <w:rsid w:val="07DE3CAB"/>
    <w:rsid w:val="08056DA4"/>
    <w:rsid w:val="08DFC4EF"/>
    <w:rsid w:val="0B088285"/>
    <w:rsid w:val="0B99C256"/>
    <w:rsid w:val="0BF457F2"/>
    <w:rsid w:val="0D902853"/>
    <w:rsid w:val="120E12CB"/>
    <w:rsid w:val="12702003"/>
    <w:rsid w:val="15A2BC26"/>
    <w:rsid w:val="16172696"/>
    <w:rsid w:val="18504E97"/>
    <w:rsid w:val="18B26405"/>
    <w:rsid w:val="1A7CA9BA"/>
    <w:rsid w:val="1B0F63B6"/>
    <w:rsid w:val="1CF549FB"/>
    <w:rsid w:val="1E6268F7"/>
    <w:rsid w:val="21103623"/>
    <w:rsid w:val="23828AC3"/>
    <w:rsid w:val="25C500CB"/>
    <w:rsid w:val="28A52810"/>
    <w:rsid w:val="2A6BF317"/>
    <w:rsid w:val="2A73944E"/>
    <w:rsid w:val="2B486CE2"/>
    <w:rsid w:val="2E9EFE7E"/>
    <w:rsid w:val="2F603E47"/>
    <w:rsid w:val="3059B8B8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41DDE9C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26192"/>
  <w15:docId w15:val="{C12F2501-6C45-467D-98AB-5B7227B2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C83577"/>
    <w:pPr>
      <w:keepNext/>
      <w:keepLines/>
      <w:spacing w:before="36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C24F1A"/>
    <w:pPr>
      <w:suppressAutoHyphens/>
      <w:spacing w:before="12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C83577"/>
    <w:pPr>
      <w:keepNext/>
      <w:keepLines/>
      <w:spacing w:before="12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C83577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24F1A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C83577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C014C9"/>
    <w:pPr>
      <w:numPr>
        <w:numId w:val="1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F20BDD"/>
    <w:pPr>
      <w:spacing w:before="40" w:after="40"/>
      <w:jc w:val="center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C83577"/>
    <w:pPr>
      <w:keepNext/>
      <w:suppressAutoHyphens w:val="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locked/>
    <w:rsid w:val="00AA4F3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6D1413"/>
    <w:pPr>
      <w:spacing w:before="0" w:after="0"/>
    </w:pPr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206A9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06A9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5" ma:contentTypeDescription="Create a new document." ma:contentTypeScope="" ma:versionID="5535306bba79b1ad03d2841a03f34baf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95469566-ff15-40dd-a806-b3ff38c3d56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ff41837-5838-4dec-ad5d-0fd8d2f05163"/>
  </ds:schemaRefs>
</ds:datastoreItem>
</file>

<file path=customXml/itemProps2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CFFD7-881B-4CED-89F1-C0F04FEB0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3</TotalTime>
  <Pages>3</Pages>
  <Words>941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Haemophilus Influenza, Type b (Hib) as ActHIB Vaccine Protocol</vt:lpstr>
    </vt:vector>
  </TitlesOfParts>
  <Company>State of Minnesota</Company>
  <LinksUpToDate>false</LinksUpToDate>
  <CharactersWithSpaces>5729</CharactersWithSpaces>
  <SharedDoc>false</SharedDoc>
  <HLinks>
    <vt:vector size="12" baseType="variant">
      <vt:variant>
        <vt:i4>7077960</vt:i4>
      </vt:variant>
      <vt:variant>
        <vt:i4>3</vt:i4>
      </vt:variant>
      <vt:variant>
        <vt:i4>0</vt:i4>
      </vt:variant>
      <vt:variant>
        <vt:i4>5</vt:i4>
      </vt:variant>
      <vt:variant>
        <vt:lpwstr>mailto:Sarah.Spah@state.mn.us</vt:lpwstr>
      </vt:variant>
      <vt:variant>
        <vt:lpwstr/>
      </vt:variant>
      <vt:variant>
        <vt:i4>6684763</vt:i4>
      </vt:variant>
      <vt:variant>
        <vt:i4>0</vt:i4>
      </vt:variant>
      <vt:variant>
        <vt:i4>0</vt:i4>
      </vt:variant>
      <vt:variant>
        <vt:i4>5</vt:i4>
      </vt:variant>
      <vt:variant>
        <vt:lpwstr>mailto:nancy.grimsrud@state.mn.us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Haemophilus Influenza, Type B (Hib) Routine and Catch-up Vaccine Protocol</dc:title>
  <dc:subject>Haemophilus Influenza, Type B (Hib) Routine and Catch-up Vaccine Protocol</dc:subject>
  <dc:creator>Minnesota Dept. of Health</dc:creator>
  <cp:keywords/>
  <dc:description/>
  <cp:lastModifiedBy>Schultz, Tracy (She/Her/Hers) (MDH)</cp:lastModifiedBy>
  <cp:revision>5</cp:revision>
  <cp:lastPrinted>2016-12-14T20:03:00Z</cp:lastPrinted>
  <dcterms:created xsi:type="dcterms:W3CDTF">2023-06-05T12:55:00Z</dcterms:created>
  <dcterms:modified xsi:type="dcterms:W3CDTF">2023-06-05T20:17:00Z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