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F088" w14:textId="2F4365A8" w:rsidR="000B3E7D" w:rsidRPr="00541973" w:rsidRDefault="00541973" w:rsidP="00541973">
      <w:pPr>
        <w:pStyle w:val="Heading1"/>
      </w:pPr>
      <w:r w:rsidRPr="0065774F">
        <w:t xml:space="preserve">Meningococcal ABCWY </w:t>
      </w:r>
      <w:r w:rsidR="00066679" w:rsidRPr="00541973">
        <w:t xml:space="preserve">Vaccine </w:t>
      </w:r>
      <w:r w:rsidR="005B1A82" w:rsidRPr="00541973">
        <w:t>Protocol</w:t>
      </w:r>
    </w:p>
    <w:p w14:paraId="2E9D469B" w14:textId="479F9E52" w:rsidR="00926635" w:rsidRPr="0065774F" w:rsidRDefault="000B3E7D" w:rsidP="00541973">
      <w:pPr>
        <w:pStyle w:val="Subtitle"/>
      </w:pPr>
      <w:r w:rsidRPr="00541973">
        <w:t>vaccine protocol</w:t>
      </w:r>
      <w:r w:rsidR="00185403" w:rsidRPr="00541973">
        <w:t xml:space="preserve"> for </w:t>
      </w:r>
      <w:r w:rsidR="00926635" w:rsidRPr="00541973">
        <w:t xml:space="preserve">Persons Age </w:t>
      </w:r>
      <w:r w:rsidR="00541973" w:rsidRPr="0065774F">
        <w:t>10 years and older</w:t>
      </w:r>
    </w:p>
    <w:p w14:paraId="4BAE6FFB" w14:textId="4E5520F4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541973">
        <w:rPr>
          <w:b/>
          <w:bCs/>
          <w:color w:val="C00000"/>
        </w:rPr>
        <w:t xml:space="preserve">May </w:t>
      </w:r>
      <w:r w:rsidR="00B87A6A">
        <w:rPr>
          <w:b/>
          <w:bCs/>
          <w:color w:val="C00000"/>
        </w:rPr>
        <w:t>7</w:t>
      </w:r>
      <w:r w:rsidR="00541973">
        <w:rPr>
          <w:b/>
          <w:bCs/>
          <w:color w:val="C00000"/>
        </w:rPr>
        <w:t>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421BFFCE" w14:textId="201835D1" w:rsidR="000B3E7D" w:rsidRDefault="000B3E7D" w:rsidP="00541973">
      <w:r>
        <w:t>To reduce incidence of morbidity and mo</w:t>
      </w:r>
      <w:r w:rsidRPr="00541973">
        <w:t xml:space="preserve">rtality of </w:t>
      </w:r>
      <w:r w:rsidR="00541973" w:rsidRPr="0065774F">
        <w:rPr>
          <w:i/>
          <w:iCs/>
        </w:rPr>
        <w:t>Neisseria meningitidis</w:t>
      </w:r>
      <w:r w:rsidR="00541973" w:rsidRPr="0065774F">
        <w:t xml:space="preserve"> </w:t>
      </w:r>
      <w:r>
        <w:t>disease</w:t>
      </w:r>
      <w:r w:rsidR="00926635">
        <w:t>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4B23D2B1" w14:textId="366A769D" w:rsidR="000B3E7D" w:rsidRDefault="000B3E7D" w:rsidP="00541973">
      <w:r>
        <w:t xml:space="preserve">The nurse will implement this protocol </w:t>
      </w:r>
      <w:r w:rsidRPr="00541973">
        <w:t xml:space="preserve">for </w:t>
      </w:r>
      <w:r w:rsidR="00541973" w:rsidRPr="0065774F">
        <w:rPr>
          <w:i/>
          <w:iCs/>
        </w:rPr>
        <w:t>Neisseria meningitidis</w:t>
      </w:r>
      <w:r w:rsidR="00541973" w:rsidRPr="0065774F">
        <w:t xml:space="preserve"> </w:t>
      </w:r>
      <w:r w:rsidR="00926635" w:rsidRPr="00541973">
        <w:t>vaccinatio</w:t>
      </w:r>
      <w:r w:rsidR="00926635">
        <w:t>n</w:t>
      </w:r>
      <w:r w:rsidR="00066679">
        <w:t xml:space="preserve"> using the</w:t>
      </w:r>
      <w:r w:rsidR="00066679" w:rsidRPr="007D53F2">
        <w:rPr>
          <w:color w:val="C00000"/>
        </w:rPr>
        <w:t xml:space="preserve"> </w:t>
      </w:r>
      <w:r w:rsidR="00541973">
        <w:rPr>
          <w:rStyle w:val="normaltextrun"/>
          <w:rFonts w:cs="Calibri"/>
          <w:color w:val="000000"/>
          <w:shd w:val="clear" w:color="auto" w:fill="FFFFFF"/>
        </w:rPr>
        <w:t xml:space="preserve">MenABCWY </w:t>
      </w:r>
      <w:r w:rsidR="00066679" w:rsidRPr="007D53F2">
        <w:rPr>
          <w:color w:val="C00000"/>
        </w:rPr>
        <w:t xml:space="preserve"> </w:t>
      </w:r>
      <w:r w:rsidR="00066679">
        <w:t>product</w:t>
      </w:r>
      <w:r w:rsidR="0071546B">
        <w:t>.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65774F" w:rsidRPr="008E470A" w14:paraId="2B9A7AB7" w14:textId="77777777" w:rsidTr="00657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8E470A" w:rsidRDefault="0015567C" w:rsidP="0065774F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7BC765D4" w14:textId="77777777" w:rsidR="0015567C" w:rsidRPr="008E470A" w:rsidRDefault="0015567C" w:rsidP="0065774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65774F" w:rsidRPr="008E470A" w14:paraId="20DE80C1" w14:textId="77777777" w:rsidTr="00657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4F325F64" w:rsidR="00926635" w:rsidRPr="0065774F" w:rsidRDefault="00541973" w:rsidP="0065774F">
            <w:pPr>
              <w:pStyle w:val="TableText-calibri10"/>
              <w:jc w:val="both"/>
            </w:pPr>
            <w:r w:rsidRPr="0065774F">
              <w:rPr>
                <w:rStyle w:val="normaltextrun"/>
              </w:rPr>
              <w:t>Currently non-acutely ill person age 16 through 23 years who wishes to reduce their risk of meningococcal type B invasive disease and is due for MenACWY and MenB on the same clinic day.</w:t>
            </w:r>
          </w:p>
        </w:tc>
        <w:tc>
          <w:tcPr>
            <w:tcW w:w="5129" w:type="dxa"/>
          </w:tcPr>
          <w:p w14:paraId="3FAE6827" w14:textId="1734A75E" w:rsidR="00926635" w:rsidRPr="0065774F" w:rsidRDefault="00541973" w:rsidP="006577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74F">
              <w:rPr>
                <w:rStyle w:val="normaltextrun"/>
              </w:rPr>
              <w:t>Proceed to vaccinate if meets remaining criteria. </w:t>
            </w:r>
            <w:r w:rsidRPr="0065774F">
              <w:rPr>
                <w:rStyle w:val="eop"/>
              </w:rPr>
              <w:t> </w:t>
            </w:r>
          </w:p>
        </w:tc>
      </w:tr>
      <w:tr w:rsidR="0065774F" w:rsidRPr="008E470A" w14:paraId="1A515FE4" w14:textId="77777777" w:rsidTr="0065774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0F7412CD" w:rsidR="00926635" w:rsidRPr="0065774F" w:rsidRDefault="00541973" w:rsidP="0065774F">
            <w:pPr>
              <w:pStyle w:val="TableText-calibri10"/>
              <w:jc w:val="both"/>
            </w:pPr>
            <w:r w:rsidRPr="0065774F">
              <w:rPr>
                <w:rStyle w:val="normaltextrun"/>
              </w:rPr>
              <w:t>Person &gt;10 years becomes or remains at increased risk for meningococcal disease after previous meningococcal vaccination and due for both MenB and MenACWY on the same clinic day.</w:t>
            </w:r>
          </w:p>
        </w:tc>
        <w:tc>
          <w:tcPr>
            <w:tcW w:w="5129" w:type="dxa"/>
          </w:tcPr>
          <w:p w14:paraId="6176D67C" w14:textId="77777777" w:rsidR="00541973" w:rsidRPr="0065774F" w:rsidRDefault="00541973" w:rsidP="006577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74F">
              <w:rPr>
                <w:rStyle w:val="normaltextrun"/>
              </w:rPr>
              <w:t>Give MenABCWY vaccine if meets remaining criteria and follow booster dose schedule. [Refer to primary care to determine risk of disease and need for vaccination.]</w:t>
            </w:r>
            <w:r w:rsidRPr="0065774F">
              <w:rPr>
                <w:rStyle w:val="eop"/>
              </w:rPr>
              <w:t> </w:t>
            </w:r>
          </w:p>
          <w:p w14:paraId="3AD50C9B" w14:textId="2F1804A8" w:rsidR="00926635" w:rsidRPr="0065774F" w:rsidRDefault="00541973" w:rsidP="006577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65774F">
              <w:rPr>
                <w:rStyle w:val="normaltextrun"/>
              </w:rPr>
              <w:t>[Refer to ________ for off-label vaccination of persons who are recommended to receive booster dose(s).]</w:t>
            </w:r>
            <w:r w:rsidRPr="0065774F">
              <w:rPr>
                <w:rStyle w:val="eop"/>
              </w:rPr>
              <w:t> </w:t>
            </w:r>
          </w:p>
        </w:tc>
      </w:tr>
      <w:tr w:rsidR="0065774F" w:rsidRPr="008E470A" w14:paraId="65042057" w14:textId="77777777" w:rsidTr="00657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3CD00526" w:rsidR="00926635" w:rsidRPr="0065774F" w:rsidRDefault="00541973" w:rsidP="0065774F">
            <w:pPr>
              <w:pStyle w:val="TableText-calibri10"/>
              <w:jc w:val="both"/>
            </w:pPr>
            <w:r w:rsidRPr="0065774F">
              <w:rPr>
                <w:rStyle w:val="normaltextrun"/>
              </w:rPr>
              <w:t>Person received a previous dose of Bexsero (MenB-4C).</w:t>
            </w:r>
            <w:r w:rsidRPr="0065774F">
              <w:rPr>
                <w:rStyle w:val="eop"/>
              </w:rPr>
              <w:t> </w:t>
            </w:r>
          </w:p>
        </w:tc>
        <w:tc>
          <w:tcPr>
            <w:tcW w:w="5129" w:type="dxa"/>
          </w:tcPr>
          <w:p w14:paraId="103BE670" w14:textId="35339A2F" w:rsidR="00926635" w:rsidRPr="0065774F" w:rsidRDefault="00541973" w:rsidP="006577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74F">
              <w:rPr>
                <w:rStyle w:val="normaltextrun"/>
              </w:rPr>
              <w:t>Do not vaccinate with this product. Refer to Meningococcal B vaccine protocol for additional doses.</w:t>
            </w:r>
          </w:p>
        </w:tc>
      </w:tr>
      <w:tr w:rsidR="00541973" w:rsidRPr="008E470A" w14:paraId="589C7304" w14:textId="77777777" w:rsidTr="0065774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BAF2CF" w14:textId="77777777" w:rsidR="00541973" w:rsidRPr="0065774F" w:rsidRDefault="00541973" w:rsidP="0065774F">
            <w:pPr>
              <w:pStyle w:val="TableText-calibri10"/>
              <w:jc w:val="both"/>
            </w:pPr>
            <w:r w:rsidRPr="0065774F">
              <w:rPr>
                <w:rStyle w:val="normaltextrun"/>
              </w:rPr>
              <w:t>Currently non-acutely ill person age 10 years and older with one of the following risk indications for Men B and due for MenACWY on the same clinic day:</w:t>
            </w:r>
            <w:r w:rsidRPr="0065774F">
              <w:rPr>
                <w:rStyle w:val="eop"/>
              </w:rPr>
              <w:t> </w:t>
            </w:r>
          </w:p>
          <w:p w14:paraId="7F01CECE" w14:textId="49199B5B" w:rsidR="00541973" w:rsidRPr="0065774F" w:rsidRDefault="00541973" w:rsidP="0065774F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65774F">
              <w:rPr>
                <w:sz w:val="20"/>
                <w:szCs w:val="20"/>
              </w:rPr>
              <w:t>Complement component deficiency (e.g., C5–C9, properdin, factor H, or factor D)</w:t>
            </w:r>
            <w:r w:rsidR="00307D9C">
              <w:rPr>
                <w:sz w:val="20"/>
                <w:szCs w:val="20"/>
              </w:rPr>
              <w:t>.</w:t>
            </w:r>
          </w:p>
          <w:p w14:paraId="0367AC5A" w14:textId="7669D8C8" w:rsidR="00541973" w:rsidRPr="0065774F" w:rsidRDefault="00541973" w:rsidP="0065774F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65774F">
              <w:rPr>
                <w:sz w:val="20"/>
                <w:szCs w:val="20"/>
              </w:rPr>
              <w:t>Using a complement inhibitor, including eculizumab and ravulizumab</w:t>
            </w:r>
            <w:r w:rsidR="00307D9C">
              <w:rPr>
                <w:sz w:val="20"/>
                <w:szCs w:val="20"/>
              </w:rPr>
              <w:t>.</w:t>
            </w:r>
          </w:p>
          <w:p w14:paraId="3B4BA162" w14:textId="55AE71FB" w:rsidR="00541973" w:rsidRPr="0065774F" w:rsidRDefault="00541973" w:rsidP="0065774F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65774F">
              <w:rPr>
                <w:sz w:val="20"/>
                <w:szCs w:val="20"/>
              </w:rPr>
              <w:t>Anatomic or functional asplenia, including sickle cell disease</w:t>
            </w:r>
            <w:r w:rsidR="00307D9C">
              <w:rPr>
                <w:sz w:val="20"/>
                <w:szCs w:val="20"/>
              </w:rPr>
              <w:t>.</w:t>
            </w:r>
          </w:p>
          <w:p w14:paraId="5F7AF847" w14:textId="205797CE" w:rsidR="00541973" w:rsidRPr="0065774F" w:rsidRDefault="00541973" w:rsidP="0065774F">
            <w:pPr>
              <w:pStyle w:val="ListBullet"/>
              <w:spacing w:before="0" w:after="0"/>
              <w:rPr>
                <w:sz w:val="20"/>
                <w:szCs w:val="20"/>
              </w:rPr>
            </w:pPr>
            <w:r w:rsidRPr="0065774F">
              <w:rPr>
                <w:sz w:val="20"/>
                <w:szCs w:val="20"/>
              </w:rPr>
              <w:t>Lab personnel routinely exposed to N. meningitidis</w:t>
            </w:r>
            <w:r w:rsidR="00307D9C">
              <w:rPr>
                <w:sz w:val="20"/>
                <w:szCs w:val="20"/>
              </w:rPr>
              <w:t>.</w:t>
            </w:r>
          </w:p>
          <w:p w14:paraId="33053103" w14:textId="5B6789B5" w:rsidR="00541973" w:rsidRPr="0065774F" w:rsidRDefault="00541973" w:rsidP="0065774F">
            <w:pPr>
              <w:pStyle w:val="ListBullet"/>
              <w:spacing w:before="0" w:after="0"/>
              <w:rPr>
                <w:rStyle w:val="normaltextrun"/>
                <w:rFonts w:cs="Calibri"/>
                <w:sz w:val="20"/>
                <w:szCs w:val="20"/>
              </w:rPr>
            </w:pPr>
            <w:r w:rsidRPr="0065774F">
              <w:rPr>
                <w:sz w:val="20"/>
                <w:szCs w:val="20"/>
              </w:rPr>
              <w:t>Person identified to be at risk due to an outbreak caused by a serotype included in the vaccine</w:t>
            </w:r>
            <w:r w:rsidR="00307D9C">
              <w:rPr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14:paraId="6936064C" w14:textId="398F36D2" w:rsidR="00541973" w:rsidRPr="0065774F" w:rsidRDefault="00541973" w:rsidP="006577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65774F">
              <w:rPr>
                <w:rStyle w:val="normaltextrun"/>
              </w:rPr>
              <w:t>Proceed to vaccinate.</w:t>
            </w:r>
          </w:p>
        </w:tc>
      </w:tr>
      <w:tr w:rsidR="00541973" w:rsidRPr="008E470A" w14:paraId="2EAE5761" w14:textId="77777777" w:rsidTr="00657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A2C2CBC" w14:textId="0B6D3F02" w:rsidR="00541973" w:rsidRPr="0065774F" w:rsidRDefault="00541973" w:rsidP="0065774F">
            <w:pPr>
              <w:pStyle w:val="TableText-calibri10"/>
              <w:jc w:val="both"/>
              <w:rPr>
                <w:rStyle w:val="normaltextrun"/>
              </w:rPr>
            </w:pPr>
            <w:r w:rsidRPr="0065774F">
              <w:rPr>
                <w:rStyle w:val="normaltextrun"/>
              </w:rPr>
              <w:t>Person has previous history of meningococcal disease.</w:t>
            </w:r>
          </w:p>
        </w:tc>
        <w:tc>
          <w:tcPr>
            <w:tcW w:w="5129" w:type="dxa"/>
          </w:tcPr>
          <w:p w14:paraId="4BBD0D26" w14:textId="3703CA73" w:rsidR="00541973" w:rsidRPr="0065774F" w:rsidRDefault="00541973" w:rsidP="006577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</w:rPr>
            </w:pPr>
            <w:r w:rsidRPr="0065774F">
              <w:rPr>
                <w:rStyle w:val="normaltextrun"/>
              </w:rPr>
              <w:t>Proceed to vaccinate. </w:t>
            </w:r>
            <w:r w:rsidRPr="0065774F">
              <w:rPr>
                <w:rStyle w:val="eop"/>
              </w:rPr>
              <w:t> </w:t>
            </w:r>
          </w:p>
        </w:tc>
      </w:tr>
      <w:tr w:rsidR="00541973" w:rsidRPr="008E470A" w14:paraId="314A3987" w14:textId="77777777" w:rsidTr="0065774F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67E9934" w14:textId="7C5E0C7D" w:rsidR="00541973" w:rsidRPr="0065774F" w:rsidRDefault="0065774F" w:rsidP="0065774F">
            <w:pPr>
              <w:pStyle w:val="TableText-calibri10"/>
              <w:jc w:val="both"/>
              <w:rPr>
                <w:rStyle w:val="normaltextrun"/>
              </w:rPr>
            </w:pPr>
            <w:r w:rsidRPr="0065774F">
              <w:rPr>
                <w:rStyle w:val="normaltextrun"/>
              </w:rPr>
              <w:lastRenderedPageBreak/>
              <w:t>Person previously received MenACWY.</w:t>
            </w:r>
          </w:p>
        </w:tc>
        <w:tc>
          <w:tcPr>
            <w:tcW w:w="5129" w:type="dxa"/>
          </w:tcPr>
          <w:p w14:paraId="41C803E5" w14:textId="6253AD46" w:rsidR="00541973" w:rsidRPr="0065774F" w:rsidRDefault="0065774F" w:rsidP="006577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</w:rPr>
            </w:pPr>
            <w:r w:rsidRPr="0065774F">
              <w:rPr>
                <w:rStyle w:val="normaltextrun"/>
              </w:rPr>
              <w:t>Proceed to vaccinate if meets remaining criteria.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03431DC1" w14:textId="77777777" w:rsidTr="00657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4692A7FB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185403" w:rsidRPr="008E470A" w14:paraId="7005D129" w14:textId="77777777" w:rsidTr="00657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783E8F61" w:rsidR="00185403" w:rsidRPr="0065774F" w:rsidRDefault="0065774F" w:rsidP="0065774F">
            <w:pPr>
              <w:pStyle w:val="TableText-calibri10"/>
            </w:pPr>
            <w:r w:rsidRPr="0065774F">
              <w:t>Severe allergic reaction (anaphylaxis) to a previous dose of MenACWY/MenB vaccine.</w:t>
            </w:r>
          </w:p>
        </w:tc>
        <w:tc>
          <w:tcPr>
            <w:tcW w:w="5129" w:type="dxa"/>
          </w:tcPr>
          <w:p w14:paraId="68751DD1" w14:textId="220049D1" w:rsidR="00185403" w:rsidRPr="0065774F" w:rsidRDefault="0065774F" w:rsidP="006577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74F">
              <w:t>Do not vaccinate if previous dose was the product, you currently have available, or the allergy is a component of current vaccine available; refer to provider that has the other product _____________________</w:t>
            </w:r>
          </w:p>
        </w:tc>
      </w:tr>
      <w:tr w:rsidR="00185403" w:rsidRPr="008E470A" w14:paraId="0B0C8027" w14:textId="77777777" w:rsidTr="0065774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5D72B917" w:rsidR="00185403" w:rsidRPr="0065774F" w:rsidRDefault="0065774F" w:rsidP="0065774F">
            <w:pPr>
              <w:pStyle w:val="TableText-calibri10"/>
            </w:pPr>
            <w:r w:rsidRPr="0065774F">
              <w:t>Severe allergy to a component of the MenACWY/MenB vaccine.</w:t>
            </w:r>
          </w:p>
        </w:tc>
        <w:tc>
          <w:tcPr>
            <w:tcW w:w="5129" w:type="dxa"/>
          </w:tcPr>
          <w:p w14:paraId="753EF366" w14:textId="001C8E9A" w:rsidR="00185403" w:rsidRPr="0065774F" w:rsidRDefault="0065774F" w:rsidP="006577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74F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7BD181FC" w14:textId="77777777" w:rsidTr="00657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176E4172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926635" w:rsidRPr="008E470A" w14:paraId="5896B4F6" w14:textId="77777777" w:rsidTr="00657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62F95F8B" w:rsidR="00926635" w:rsidRPr="0065774F" w:rsidRDefault="0065774F" w:rsidP="0065774F">
            <w:pPr>
              <w:pStyle w:val="TableText-calibri10"/>
            </w:pPr>
            <w:r w:rsidRPr="0065774F">
              <w:rPr>
                <w:rStyle w:val="normaltextrun"/>
              </w:rPr>
              <w:t>Person has a mild illness defined as temperature less than ____°F/°C with symptoms such as: {to be determined by medical prescriber}</w:t>
            </w:r>
            <w:r w:rsidRPr="0065774F">
              <w:rPr>
                <w:rStyle w:val="eop"/>
              </w:rPr>
              <w:t> </w:t>
            </w:r>
          </w:p>
        </w:tc>
        <w:tc>
          <w:tcPr>
            <w:tcW w:w="5129" w:type="dxa"/>
          </w:tcPr>
          <w:p w14:paraId="27B7FDF7" w14:textId="4E1304CE" w:rsidR="00926635" w:rsidRPr="0065774F" w:rsidRDefault="0065774F" w:rsidP="006577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74F">
              <w:rPr>
                <w:rStyle w:val="normaltextrun"/>
              </w:rPr>
              <w:t>Proceed to vaccinate.</w:t>
            </w:r>
            <w:r w:rsidRPr="0065774F">
              <w:rPr>
                <w:rStyle w:val="eop"/>
              </w:rPr>
              <w:t> </w:t>
            </w:r>
          </w:p>
        </w:tc>
      </w:tr>
      <w:tr w:rsidR="59BEB75F" w:rsidRPr="008E470A" w14:paraId="0DDCB27F" w14:textId="77777777" w:rsidTr="0065774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09134C63" w:rsidR="06C91713" w:rsidRPr="0065774F" w:rsidRDefault="0065774F" w:rsidP="0065774F">
            <w:pPr>
              <w:pStyle w:val="TableText-calibri10"/>
            </w:pPr>
            <w:r w:rsidRPr="0065774F">
              <w:rPr>
                <w:rStyle w:val="normaltextrun"/>
              </w:rPr>
              <w:t>Person has a moderate to severe illness defined as temperature ____°F/°C or higher with symptoms such as: {to be determined by medical prescriber}</w:t>
            </w:r>
            <w:r w:rsidRPr="0065774F">
              <w:rPr>
                <w:rStyle w:val="eop"/>
              </w:rPr>
              <w:t> </w:t>
            </w:r>
          </w:p>
        </w:tc>
        <w:tc>
          <w:tcPr>
            <w:tcW w:w="5129" w:type="dxa"/>
          </w:tcPr>
          <w:p w14:paraId="6FBAFC44" w14:textId="1F402DC5" w:rsidR="06C91713" w:rsidRPr="0065774F" w:rsidRDefault="0065774F" w:rsidP="006577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74F">
              <w:t>[</w:t>
            </w:r>
            <w:r w:rsidRPr="0065774F">
              <w:rPr>
                <w:rStyle w:val="normaltextrun"/>
              </w:rPr>
              <w:t>Refer to health care provider for evaluation of symptoms and determination of whether to vaccinate.]</w:t>
            </w:r>
          </w:p>
        </w:tc>
      </w:tr>
      <w:tr w:rsidR="0065774F" w:rsidRPr="008E470A" w14:paraId="5AED7ABB" w14:textId="77777777" w:rsidTr="00657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2683358" w14:textId="7A82BDDD" w:rsidR="0065774F" w:rsidRPr="0065774F" w:rsidRDefault="0065774F" w:rsidP="0065774F">
            <w:pPr>
              <w:pStyle w:val="TableText-calibri10"/>
              <w:rPr>
                <w:rStyle w:val="normaltextrun"/>
              </w:rPr>
            </w:pPr>
            <w:r w:rsidRPr="0065774F">
              <w:rPr>
                <w:rStyle w:val="normaltextrun"/>
              </w:rPr>
              <w:t>Person is pregnant.</w:t>
            </w:r>
          </w:p>
        </w:tc>
        <w:tc>
          <w:tcPr>
            <w:tcW w:w="5129" w:type="dxa"/>
          </w:tcPr>
          <w:p w14:paraId="628672C2" w14:textId="3B47BE20" w:rsidR="0065774F" w:rsidRPr="0065774F" w:rsidRDefault="0065774F" w:rsidP="0065774F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74F">
              <w:rPr>
                <w:rStyle w:val="normaltextrun"/>
              </w:rPr>
              <w:t>Refer to primary care to determine risk of disease and need for vaccination.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t>Prescription</w:t>
      </w:r>
    </w:p>
    <w:p w14:paraId="5B3BA287" w14:textId="058A2868" w:rsidR="008F43EF" w:rsidRPr="00D462C9" w:rsidRDefault="008F43EF" w:rsidP="008F43EF">
      <w:pPr>
        <w:rPr>
          <w:color w:val="C00000"/>
        </w:rPr>
      </w:pPr>
      <w:r w:rsidRPr="00D462C9">
        <w:rPr>
          <w:rStyle w:val="normaltextrun"/>
          <w:rFonts w:cs="Calibri"/>
          <w:color w:val="000000"/>
          <w:shd w:val="clear" w:color="auto" w:fill="FFFFFF"/>
        </w:rPr>
        <w:t>When administration of both MenACWY and MenB vaccinations are recommended on the same clinic day.</w:t>
      </w:r>
    </w:p>
    <w:p w14:paraId="4C9829EB" w14:textId="5B305D97" w:rsidR="0065774F" w:rsidRDefault="0065774F" w:rsidP="00307D9C">
      <w:pPr>
        <w:pStyle w:val="Heading3"/>
      </w:pPr>
      <w:r>
        <w:t>People age 16 to 23 years not at increased risk</w:t>
      </w:r>
      <w:r w:rsidR="008F43EF">
        <w:t xml:space="preserve"> for meningococcal disease</w:t>
      </w:r>
    </w:p>
    <w:p w14:paraId="42D3600E" w14:textId="35AD9CCB" w:rsidR="00307D9C" w:rsidRPr="00307D9C" w:rsidRDefault="00307D9C" w:rsidP="00307D9C">
      <w:pPr>
        <w:pStyle w:val="ListBullet"/>
      </w:pPr>
      <w:r w:rsidRPr="00307D9C">
        <w:t xml:space="preserve">Give MenABCWY </w:t>
      </w:r>
      <w:r w:rsidRPr="00307D9C">
        <w:rPr>
          <w:rStyle w:val="normaltextrun"/>
          <w:rFonts w:cs="Calibri"/>
          <w:shd w:val="clear" w:color="auto" w:fill="FFFFFF"/>
        </w:rPr>
        <w:t>(Penbraya) vaccine; 0.5 mL, IM.</w:t>
      </w:r>
    </w:p>
    <w:p w14:paraId="263844D9" w14:textId="77777777" w:rsidR="00307D9C" w:rsidRPr="00307D9C" w:rsidRDefault="00307D9C" w:rsidP="00307D9C">
      <w:pPr>
        <w:pStyle w:val="ListBullet"/>
        <w:rPr>
          <w:rStyle w:val="normaltextrun"/>
        </w:rPr>
      </w:pPr>
      <w:r w:rsidRPr="00307D9C">
        <w:t xml:space="preserve">If Penbraya </w:t>
      </w:r>
      <w:r w:rsidRPr="00307D9C">
        <w:rPr>
          <w:rStyle w:val="normaltextrun"/>
          <w:rFonts w:cs="Calibri"/>
          <w:shd w:val="clear" w:color="auto" w:fill="FFFFFF"/>
        </w:rPr>
        <w:t>is used for dose one of Meningococcal B vaccine, MenB-FHbp (Trumenba) should be administered for the second dose of Meningococcal B vaccine.</w:t>
      </w:r>
    </w:p>
    <w:p w14:paraId="22EFD1DA" w14:textId="4154D3C6" w:rsidR="00627BF7" w:rsidRPr="00307D9C" w:rsidRDefault="00307D9C" w:rsidP="00307D9C">
      <w:pPr>
        <w:pStyle w:val="NormalLtBlueBackground"/>
      </w:pPr>
      <w:r w:rsidRPr="00307D9C">
        <w:t>Note: MenB vaccine products are not interchangeable. The same vaccine product must be used for all doses.</w:t>
      </w:r>
    </w:p>
    <w:p w14:paraId="19DB6976" w14:textId="5F75C6CC" w:rsidR="00307D9C" w:rsidRPr="00307D9C" w:rsidRDefault="00307D9C" w:rsidP="00307D9C">
      <w:pPr>
        <w:pStyle w:val="ListBullet"/>
      </w:pPr>
      <w:r w:rsidRPr="00307D9C">
        <w:t xml:space="preserve">If one MenB dose was received but the vaccine product is unknown, the series must be restarted to ensure completion of a </w:t>
      </w:r>
      <w:r>
        <w:t>two</w:t>
      </w:r>
      <w:r w:rsidRPr="00307D9C">
        <w:t>-dose series using the same product.  </w:t>
      </w:r>
    </w:p>
    <w:p w14:paraId="11699463" w14:textId="536E1D3F" w:rsidR="00307D9C" w:rsidRPr="00307D9C" w:rsidRDefault="00307D9C" w:rsidP="00307D9C">
      <w:pPr>
        <w:pStyle w:val="ListBullet"/>
      </w:pPr>
      <w:r w:rsidRPr="00307D9C">
        <w:t xml:space="preserve">If </w:t>
      </w:r>
      <w:r>
        <w:t>two</w:t>
      </w:r>
      <w:r w:rsidRPr="00307D9C">
        <w:t xml:space="preserve"> doses were administered using different MenB products, one product should be selected for administration of an additional dose at an appropriate interval to ensure valid completion of a MenB series; the dose from the product not selected for series completion should be considered invalid.  </w:t>
      </w:r>
    </w:p>
    <w:p w14:paraId="1A6E41A4" w14:textId="5B62F044" w:rsidR="00307D9C" w:rsidRPr="00307D9C" w:rsidRDefault="00307D9C" w:rsidP="00307D9C">
      <w:pPr>
        <w:pStyle w:val="ListBullet"/>
      </w:pPr>
      <w:r w:rsidRPr="00307D9C">
        <w:lastRenderedPageBreak/>
        <w:t xml:space="preserve">For situations in which a MenB dose or doses must be repeated, a minimum interval of 4 weeks should be used between any </w:t>
      </w:r>
      <w:r>
        <w:t>two</w:t>
      </w:r>
      <w:r w:rsidRPr="00307D9C">
        <w:t xml:space="preserve"> doses. </w:t>
      </w:r>
    </w:p>
    <w:p w14:paraId="0F334D08" w14:textId="5445BCD4" w:rsidR="00307D9C" w:rsidRPr="00307D9C" w:rsidRDefault="00307D9C" w:rsidP="00307D9C">
      <w:pPr>
        <w:pStyle w:val="Heading3"/>
      </w:pPr>
      <w:r w:rsidRPr="00307D9C">
        <w:t xml:space="preserve">People age 10 years and older at increased risk </w:t>
      </w:r>
      <w:r w:rsidR="008F43EF">
        <w:t>for</w:t>
      </w:r>
      <w:r w:rsidRPr="00307D9C">
        <w:t xml:space="preserve"> meningococcal diseas</w:t>
      </w:r>
      <w:r>
        <w:t>e</w:t>
      </w:r>
    </w:p>
    <w:p w14:paraId="3744AAD8" w14:textId="179E4840" w:rsidR="00307D9C" w:rsidRPr="00307D9C" w:rsidRDefault="00307D9C" w:rsidP="00307D9C">
      <w:pPr>
        <w:pStyle w:val="ListBullet"/>
        <w:rPr>
          <w:rStyle w:val="normaltextrun"/>
        </w:rPr>
      </w:pPr>
      <w:r>
        <w:t xml:space="preserve">Give MenABCWY </w:t>
      </w:r>
      <w:r>
        <w:rPr>
          <w:rStyle w:val="normaltextrun"/>
          <w:rFonts w:cs="Calibri"/>
          <w:color w:val="000000"/>
          <w:shd w:val="clear" w:color="auto" w:fill="FFFFFF"/>
        </w:rPr>
        <w:t>0.5ml, IM.</w:t>
      </w:r>
    </w:p>
    <w:p w14:paraId="2B181FC2" w14:textId="1AFABAC6" w:rsidR="00307D9C" w:rsidRPr="008F43EF" w:rsidRDefault="00307D9C" w:rsidP="00307D9C">
      <w:pPr>
        <w:pStyle w:val="ListBullet"/>
        <w:rPr>
          <w:rStyle w:val="normaltextrun"/>
        </w:rPr>
      </w:pPr>
      <w:r>
        <w:t xml:space="preserve">If additional </w:t>
      </w:r>
      <w:r>
        <w:rPr>
          <w:rStyle w:val="normaltextrun"/>
          <w:rFonts w:cs="Calibri"/>
          <w:color w:val="000000"/>
          <w:shd w:val="clear" w:color="auto" w:fill="FFFFFF"/>
        </w:rPr>
        <w:t>doses of MenABCWY are needed, give at least 6 months apart.</w:t>
      </w:r>
    </w:p>
    <w:p w14:paraId="0ED9383A" w14:textId="7FA1F48E" w:rsidR="008F43EF" w:rsidRDefault="008F43EF" w:rsidP="008F43EF">
      <w:pPr>
        <w:pStyle w:val="Heading3"/>
      </w:pPr>
      <w:r w:rsidRPr="008F43EF">
        <w:t>People age 10 years and older who remain at risk for meningococcal disease after primary series (booster)</w:t>
      </w:r>
    </w:p>
    <w:p w14:paraId="481F1403" w14:textId="14794125" w:rsidR="008F43EF" w:rsidRDefault="008F43EF" w:rsidP="008F43EF">
      <w:pPr>
        <w:pStyle w:val="ListBullet"/>
        <w:rPr>
          <w:rStyle w:val="normaltextrun"/>
          <w:rFonts w:cs="Calibri"/>
          <w:color w:val="000000"/>
          <w:shd w:val="clear" w:color="auto" w:fill="FFFFFF"/>
        </w:rPr>
      </w:pPr>
      <w:r>
        <w:rPr>
          <w:rStyle w:val="normaltextrun"/>
          <w:rFonts w:cs="Calibri"/>
          <w:color w:val="000000"/>
          <w:shd w:val="clear" w:color="auto" w:fill="FFFFFF"/>
        </w:rPr>
        <w:t>Give MenABCWY 0.5ml, IM.</w:t>
      </w:r>
    </w:p>
    <w:p w14:paraId="070801BD" w14:textId="745B3384" w:rsidR="008F43EF" w:rsidRPr="008F43EF" w:rsidRDefault="008F43EF" w:rsidP="008F43EF">
      <w:pPr>
        <w:pStyle w:val="ListBullet"/>
      </w:pPr>
      <w:r>
        <w:rPr>
          <w:rStyle w:val="normaltextrun"/>
          <w:rFonts w:cs="Calibri"/>
          <w:color w:val="000000"/>
          <w:shd w:val="clear" w:color="auto" w:fill="FFFFFF"/>
        </w:rPr>
        <w:t>If additional doses of MenABCWY are needed, give at least 6 months apart.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65774F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0962" w14:textId="77777777" w:rsidR="000B3E7D" w:rsidRDefault="000B3E7D" w:rsidP="00D36495">
      <w:r>
        <w:separator/>
      </w:r>
    </w:p>
  </w:endnote>
  <w:endnote w:type="continuationSeparator" w:id="0">
    <w:p w14:paraId="759846F1" w14:textId="77777777" w:rsidR="000B3E7D" w:rsidRDefault="000B3E7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34D8" w14:textId="77777777" w:rsidR="000B3E7D" w:rsidRDefault="000B3E7D" w:rsidP="00D36495">
      <w:r>
        <w:separator/>
      </w:r>
    </w:p>
  </w:footnote>
  <w:footnote w:type="continuationSeparator" w:id="0">
    <w:p w14:paraId="6475C9E9" w14:textId="77777777" w:rsidR="000B3E7D" w:rsidRDefault="000B3E7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3A09BB8F" w:rsidR="00782710" w:rsidRPr="005F3404" w:rsidRDefault="0065774F" w:rsidP="0065774F">
    <w:pPr>
      <w:pStyle w:val="Header"/>
    </w:pPr>
    <w:r w:rsidRPr="0065774F">
      <w:t xml:space="preserve">Meningococcal ABCWY </w:t>
    </w:r>
    <w:r w:rsidRPr="00541973">
      <w:t>Vaccine 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8E057F"/>
    <w:multiLevelType w:val="multilevel"/>
    <w:tmpl w:val="293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DC13B7"/>
    <w:multiLevelType w:val="multilevel"/>
    <w:tmpl w:val="88B4C196"/>
    <w:numStyleLink w:val="Listbullets"/>
  </w:abstractNum>
  <w:abstractNum w:abstractNumId="7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147EF"/>
    <w:multiLevelType w:val="multilevel"/>
    <w:tmpl w:val="88B4C196"/>
    <w:numStyleLink w:val="Listbullets"/>
  </w:abstractNum>
  <w:abstractNum w:abstractNumId="9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2" w15:restartNumberingAfterBreak="0">
    <w:nsid w:val="4D6D10C3"/>
    <w:multiLevelType w:val="multilevel"/>
    <w:tmpl w:val="8E9C8C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00624129">
    <w:abstractNumId w:val="13"/>
  </w:num>
  <w:num w:numId="2" w16cid:durableId="739325403">
    <w:abstractNumId w:val="1"/>
  </w:num>
  <w:num w:numId="3" w16cid:durableId="106004042">
    <w:abstractNumId w:val="0"/>
  </w:num>
  <w:num w:numId="4" w16cid:durableId="687946493">
    <w:abstractNumId w:val="10"/>
  </w:num>
  <w:num w:numId="5" w16cid:durableId="1765299252">
    <w:abstractNumId w:val="15"/>
  </w:num>
  <w:num w:numId="6" w16cid:durableId="313337357">
    <w:abstractNumId w:val="3"/>
  </w:num>
  <w:num w:numId="7" w16cid:durableId="517231757">
    <w:abstractNumId w:val="2"/>
  </w:num>
  <w:num w:numId="8" w16cid:durableId="156071018">
    <w:abstractNumId w:val="8"/>
  </w:num>
  <w:num w:numId="9" w16cid:durableId="1649892460">
    <w:abstractNumId w:val="6"/>
  </w:num>
  <w:num w:numId="10" w16cid:durableId="1059744909">
    <w:abstractNumId w:val="14"/>
  </w:num>
  <w:num w:numId="11" w16cid:durableId="825706611">
    <w:abstractNumId w:val="11"/>
  </w:num>
  <w:num w:numId="12" w16cid:durableId="1674910764">
    <w:abstractNumId w:val="7"/>
  </w:num>
  <w:num w:numId="13" w16cid:durableId="1223560892">
    <w:abstractNumId w:val="9"/>
  </w:num>
  <w:num w:numId="14" w16cid:durableId="1906060376">
    <w:abstractNumId w:val="4"/>
  </w:num>
  <w:num w:numId="15" w16cid:durableId="1411200097">
    <w:abstractNumId w:val="5"/>
  </w:num>
  <w:num w:numId="16" w16cid:durableId="35084075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6C1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07D9C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2724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D60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973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5774F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18D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3EF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5D1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A6A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2C9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307D9C"/>
    <w:pPr>
      <w:keepNext/>
      <w:keepLines/>
      <w:spacing w:before="48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307D9C"/>
    <w:pPr>
      <w:suppressAutoHyphens/>
      <w:spacing w:before="12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307D9C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307D9C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307D9C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307D9C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65774F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307D9C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75D1"/>
    <w:pPr>
      <w:spacing w:before="0" w:after="0"/>
    </w:pPr>
    <w:rPr>
      <w:sz w:val="24"/>
    </w:rPr>
  </w:style>
  <w:style w:type="character" w:customStyle="1" w:styleId="normaltextrun">
    <w:name w:val="normaltextrun"/>
    <w:basedOn w:val="DefaultParagraphFont"/>
    <w:rsid w:val="00541973"/>
  </w:style>
  <w:style w:type="character" w:customStyle="1" w:styleId="eop">
    <w:name w:val="eop"/>
    <w:basedOn w:val="DefaultParagraphFont"/>
    <w:rsid w:val="00541973"/>
  </w:style>
  <w:style w:type="paragraph" w:customStyle="1" w:styleId="paragraph">
    <w:name w:val="paragraph"/>
    <w:basedOn w:val="Normal"/>
    <w:rsid w:val="0054197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4" ma:contentTypeDescription="Create a new document." ma:contentTypeScope="" ma:versionID="98e58c2b20998fbf5eab7854e0536e3e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terms/"/>
    <ds:schemaRef ds:uri="fff41837-5838-4dec-ad5d-0fd8d2f0516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95469566-ff15-40dd-a806-b3ff38c3d56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D4F814D-EF71-4532-9515-31A0B15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16</TotalTime>
  <Pages>3</Pages>
  <Words>818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Meningococcal ABCWY Vaccine Protocol</vt:lpstr>
    </vt:vector>
  </TitlesOfParts>
  <Company>State of Minnesota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Meningococcal ABCWY Vaccine Protocol</dc:title>
  <dc:subject>Meningococcal ABCWY Vaccine Protocol</dc:subject>
  <dc:creator>Minnesota Department of Health</dc:creator>
  <cp:keywords/>
  <dc:description/>
  <cp:lastModifiedBy>Schultz, Tracy (She/Her/Hers) (MDH)</cp:lastModifiedBy>
  <cp:revision>6</cp:revision>
  <cp:lastPrinted>2016-12-14T18:03:00Z</cp:lastPrinted>
  <dcterms:created xsi:type="dcterms:W3CDTF">2024-05-06T19:57:00Z</dcterms:created>
  <dcterms:modified xsi:type="dcterms:W3CDTF">2024-05-07T18:34:00Z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